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4BE" w:rsidRPr="00C672EB" w:rsidRDefault="00C904BE" w:rsidP="00C904BE">
      <w:pPr>
        <w:pStyle w:val="Title"/>
        <w:rPr>
          <w:rFonts w:ascii="Arial" w:hAnsi="Arial"/>
          <w:sz w:val="23"/>
        </w:rPr>
      </w:pPr>
      <w:r>
        <w:rPr>
          <w:rFonts w:ascii="Arial" w:hAnsi="Arial"/>
          <w:sz w:val="23"/>
        </w:rPr>
        <w:t>Submission to the Committee</w:t>
      </w:r>
    </w:p>
    <w:p w:rsidR="00767A0D" w:rsidRDefault="00C904BE" w:rsidP="00767A0D">
      <w:pPr>
        <w:pStyle w:val="Title"/>
        <w:rPr>
          <w:rFonts w:ascii="Arial" w:hAnsi="Arial"/>
          <w:sz w:val="23"/>
        </w:rPr>
      </w:pPr>
      <w:r>
        <w:rPr>
          <w:rFonts w:ascii="Arial" w:hAnsi="Arial"/>
          <w:sz w:val="23"/>
        </w:rPr>
        <w:t xml:space="preserve">City of Yarra Amendment C179 </w:t>
      </w:r>
    </w:p>
    <w:p w:rsidR="00C904BE" w:rsidRDefault="00C904BE" w:rsidP="00767A0D">
      <w:pPr>
        <w:pStyle w:val="Title"/>
        <w:rPr>
          <w:rFonts w:ascii="Arial" w:hAnsi="Arial"/>
          <w:sz w:val="23"/>
        </w:rPr>
      </w:pPr>
      <w:r w:rsidRPr="002938C0">
        <w:rPr>
          <w:rFonts w:ascii="Arial" w:hAnsi="Arial"/>
          <w:sz w:val="23"/>
        </w:rPr>
        <w:t>Residential Growth Zone</w:t>
      </w:r>
      <w:r>
        <w:rPr>
          <w:rFonts w:ascii="Arial" w:hAnsi="Arial"/>
          <w:sz w:val="23"/>
        </w:rPr>
        <w:t>s</w:t>
      </w:r>
    </w:p>
    <w:p w:rsidR="00C904BE" w:rsidRDefault="00C904BE" w:rsidP="00C904BE">
      <w:pPr>
        <w:pStyle w:val="BodyText-Contemporary"/>
        <w:spacing w:before="120"/>
        <w:jc w:val="center"/>
        <w:rPr>
          <w:rFonts w:ascii="Arial" w:hAnsi="Arial"/>
          <w:b/>
          <w:sz w:val="23"/>
        </w:rPr>
      </w:pPr>
      <w:r>
        <w:rPr>
          <w:rFonts w:ascii="Arial" w:hAnsi="Arial"/>
          <w:b/>
          <w:sz w:val="23"/>
        </w:rPr>
        <w:t>The 3068 Neighbourhood Group</w:t>
      </w:r>
    </w:p>
    <w:p w:rsidR="00C904BE" w:rsidRDefault="00C904BE" w:rsidP="00C904BE">
      <w:pPr>
        <w:pStyle w:val="BodyText-Contemporary"/>
        <w:spacing w:before="120"/>
        <w:jc w:val="center"/>
        <w:rPr>
          <w:rFonts w:ascii="Arial" w:hAnsi="Arial"/>
          <w:sz w:val="23"/>
        </w:rPr>
      </w:pPr>
      <w:r>
        <w:rPr>
          <w:rFonts w:ascii="Arial" w:hAnsi="Arial"/>
          <w:b/>
          <w:sz w:val="23"/>
        </w:rPr>
        <w:t>August 22</w:t>
      </w:r>
      <w:r w:rsidRPr="002938C0">
        <w:rPr>
          <w:rFonts w:ascii="Arial" w:hAnsi="Arial"/>
          <w:b/>
          <w:sz w:val="23"/>
          <w:vertAlign w:val="superscript"/>
        </w:rPr>
        <w:t>nd</w:t>
      </w:r>
      <w:r>
        <w:rPr>
          <w:rFonts w:ascii="Arial" w:hAnsi="Arial"/>
          <w:b/>
          <w:sz w:val="23"/>
        </w:rPr>
        <w:t xml:space="preserve"> 2014</w:t>
      </w:r>
    </w:p>
    <w:p w:rsidR="00C904BE" w:rsidRDefault="004B5F5D" w:rsidP="00C904BE">
      <w:pPr>
        <w:pStyle w:val="FootnoteText"/>
        <w:rPr>
          <w:rFonts w:ascii="Arial" w:hAnsi="Arial"/>
          <w:sz w:val="23"/>
        </w:rPr>
      </w:pPr>
      <w:r>
        <w:rPr>
          <w:rFonts w:ascii="Arial" w:hAnsi="Arial"/>
          <w:noProof/>
          <w:sz w:val="23"/>
        </w:rPr>
        <w:pict>
          <v:line id="_x0000_s1026" style="position:absolute;z-index:251659264" from="25.45pt,8.4pt" to="378.25pt,8.4pt" o:allowincell="f"/>
        </w:pict>
      </w:r>
    </w:p>
    <w:p w:rsidR="00C904BE" w:rsidRDefault="00C904BE" w:rsidP="00C904BE">
      <w:pPr>
        <w:pStyle w:val="FootnoteText"/>
        <w:rPr>
          <w:rFonts w:ascii="Arial" w:hAnsi="Arial"/>
          <w:sz w:val="23"/>
        </w:rPr>
      </w:pPr>
    </w:p>
    <w:p w:rsidR="00C904BE" w:rsidRPr="00257C9C" w:rsidRDefault="00C904BE" w:rsidP="00C904BE">
      <w:pPr>
        <w:pStyle w:val="FootnoteText"/>
        <w:rPr>
          <w:rFonts w:ascii="Arial" w:hAnsi="Arial"/>
          <w:sz w:val="22"/>
        </w:rPr>
      </w:pPr>
    </w:p>
    <w:p w:rsidR="00C904BE" w:rsidRDefault="004B5F5D" w:rsidP="00C904BE">
      <w:pPr>
        <w:pStyle w:val="FootnoteText"/>
        <w:rPr>
          <w:rFonts w:ascii="Arial" w:hAnsi="Arial"/>
          <w:sz w:val="23"/>
        </w:rPr>
      </w:pPr>
      <w:hyperlink r:id="rId8" w:history="1">
        <w:r w:rsidR="00C904BE" w:rsidRPr="002938C0">
          <w:rPr>
            <w:rStyle w:val="Hyperlink"/>
            <w:rFonts w:ascii="Arial" w:hAnsi="Arial"/>
            <w:sz w:val="23"/>
          </w:rPr>
          <w:t>http://www.yarracity.vic.gov.au/planning--building/Yarra-planning-scheme/Planning-Scheme-Amendments/draft-amendment-c179/</w:t>
        </w:r>
      </w:hyperlink>
    </w:p>
    <w:p w:rsidR="00C904BE" w:rsidRDefault="00C904BE" w:rsidP="00C904BE">
      <w:pPr>
        <w:pStyle w:val="FootnoteText"/>
        <w:rPr>
          <w:rFonts w:ascii="Arial" w:hAnsi="Arial"/>
          <w:sz w:val="23"/>
        </w:rPr>
      </w:pPr>
    </w:p>
    <w:p w:rsidR="00767A0D" w:rsidRDefault="00767A0D">
      <w:pPr>
        <w:rPr>
          <w:rFonts w:ascii="Book Antiqua" w:hAnsi="Book Antiqua"/>
          <w:sz w:val="24"/>
          <w:szCs w:val="24"/>
        </w:rPr>
      </w:pPr>
    </w:p>
    <w:p w:rsidR="00C904BE" w:rsidRDefault="00D748EC">
      <w:pPr>
        <w:rPr>
          <w:rFonts w:ascii="Book Antiqua" w:hAnsi="Book Antiqua"/>
          <w:sz w:val="24"/>
          <w:szCs w:val="24"/>
        </w:rPr>
      </w:pPr>
      <w:r w:rsidRPr="006073E5">
        <w:rPr>
          <w:rFonts w:ascii="Book Antiqua" w:hAnsi="Book Antiqua"/>
          <w:sz w:val="24"/>
          <w:szCs w:val="24"/>
        </w:rPr>
        <w:t>3068 Group Submission to the Standing Committee to the Minister</w:t>
      </w:r>
    </w:p>
    <w:p w:rsidR="005F1B62" w:rsidRPr="00C21FDA" w:rsidRDefault="00B57A88" w:rsidP="00C904BE">
      <w:pPr>
        <w:pStyle w:val="Heading1"/>
      </w:pPr>
      <w:r w:rsidRPr="00C21FDA">
        <w:t>Summary</w:t>
      </w:r>
    </w:p>
    <w:p w:rsidR="00C904BE" w:rsidRDefault="00C904BE">
      <w:pPr>
        <w:rPr>
          <w:rFonts w:ascii="Book Antiqua" w:hAnsi="Book Antiqua"/>
          <w:sz w:val="24"/>
          <w:szCs w:val="24"/>
        </w:rPr>
      </w:pPr>
    </w:p>
    <w:p w:rsidR="00983B52" w:rsidRDefault="00983B52" w:rsidP="00983B52">
      <w:pPr>
        <w:rPr>
          <w:rFonts w:ascii="Book Antiqua" w:hAnsi="Book Antiqua"/>
          <w:sz w:val="24"/>
          <w:szCs w:val="24"/>
        </w:rPr>
      </w:pPr>
      <w:r>
        <w:rPr>
          <w:rFonts w:ascii="Book Antiqua" w:hAnsi="Book Antiqua"/>
          <w:sz w:val="24"/>
          <w:szCs w:val="24"/>
        </w:rPr>
        <w:t xml:space="preserve">The proposed </w:t>
      </w:r>
      <w:r w:rsidR="000B3F2B">
        <w:rPr>
          <w:rFonts w:ascii="Book Antiqua" w:hAnsi="Book Antiqua"/>
          <w:sz w:val="24"/>
          <w:szCs w:val="24"/>
        </w:rPr>
        <w:t xml:space="preserve">residential </w:t>
      </w:r>
      <w:r>
        <w:rPr>
          <w:rFonts w:ascii="Book Antiqua" w:hAnsi="Book Antiqua"/>
          <w:sz w:val="24"/>
          <w:szCs w:val="24"/>
        </w:rPr>
        <w:t>growth zones in Clifton Hill and North Fitzroy are unnecessary</w:t>
      </w:r>
      <w:r w:rsidR="000B3F2B">
        <w:rPr>
          <w:rFonts w:ascii="Book Antiqua" w:hAnsi="Book Antiqua"/>
          <w:sz w:val="24"/>
          <w:szCs w:val="24"/>
        </w:rPr>
        <w:t xml:space="preserve"> for </w:t>
      </w:r>
      <w:proofErr w:type="spellStart"/>
      <w:r w:rsidR="000B3F2B">
        <w:rPr>
          <w:rFonts w:ascii="Book Antiqua" w:hAnsi="Book Antiqua"/>
          <w:sz w:val="24"/>
          <w:szCs w:val="24"/>
        </w:rPr>
        <w:t>Yarra</w:t>
      </w:r>
      <w:proofErr w:type="spellEnd"/>
      <w:r w:rsidR="000B3F2B">
        <w:rPr>
          <w:rFonts w:ascii="Book Antiqua" w:hAnsi="Book Antiqua"/>
          <w:sz w:val="24"/>
          <w:szCs w:val="24"/>
        </w:rPr>
        <w:t xml:space="preserve"> to </w:t>
      </w:r>
      <w:r w:rsidR="00527B1E">
        <w:rPr>
          <w:rFonts w:ascii="Book Antiqua" w:hAnsi="Book Antiqua"/>
          <w:sz w:val="24"/>
          <w:szCs w:val="24"/>
        </w:rPr>
        <w:t>continue to provide a disproportionate share population of growth</w:t>
      </w:r>
      <w:r>
        <w:rPr>
          <w:rFonts w:ascii="Book Antiqua" w:hAnsi="Book Antiqua"/>
          <w:sz w:val="24"/>
          <w:szCs w:val="24"/>
        </w:rPr>
        <w:t>.</w:t>
      </w:r>
    </w:p>
    <w:p w:rsidR="00C904BE" w:rsidRDefault="00150E9E">
      <w:pPr>
        <w:rPr>
          <w:rFonts w:ascii="Book Antiqua" w:hAnsi="Book Antiqua"/>
          <w:sz w:val="24"/>
          <w:szCs w:val="24"/>
        </w:rPr>
      </w:pPr>
      <w:r>
        <w:rPr>
          <w:rFonts w:ascii="Book Antiqua" w:hAnsi="Book Antiqua"/>
          <w:sz w:val="24"/>
          <w:szCs w:val="24"/>
        </w:rPr>
        <w:t>We submit that land</w:t>
      </w:r>
      <w:r w:rsidR="00C21FDA">
        <w:rPr>
          <w:rFonts w:ascii="Book Antiqua" w:hAnsi="Book Antiqua"/>
          <w:sz w:val="24"/>
          <w:szCs w:val="24"/>
        </w:rPr>
        <w:t xml:space="preserve"> located</w:t>
      </w:r>
      <w:r>
        <w:rPr>
          <w:rFonts w:ascii="Book Antiqua" w:hAnsi="Book Antiqua"/>
          <w:sz w:val="24"/>
          <w:szCs w:val="24"/>
        </w:rPr>
        <w:t xml:space="preserve"> on Hoddle Street, Collingwood and Clifton Hill is more suited to the Residential Growth Zone than that proposed by the Amendment on Queens Parade, Clifton Hill and North Fitzroy.</w:t>
      </w:r>
      <w:r w:rsidR="008E7B40">
        <w:rPr>
          <w:rFonts w:ascii="Book Antiqua" w:hAnsi="Book Antiqua"/>
          <w:sz w:val="24"/>
          <w:szCs w:val="24"/>
        </w:rPr>
        <w:t xml:space="preserve"> </w:t>
      </w:r>
    </w:p>
    <w:p w:rsidR="00527B1E" w:rsidRDefault="00527B1E" w:rsidP="00734C8E">
      <w:pPr>
        <w:pStyle w:val="Heading1"/>
      </w:pPr>
    </w:p>
    <w:p w:rsidR="00527B1E" w:rsidRDefault="00527B1E" w:rsidP="00734C8E">
      <w:pPr>
        <w:pStyle w:val="Heading1"/>
      </w:pPr>
    </w:p>
    <w:p w:rsidR="00527B1E" w:rsidRPr="00C904BE" w:rsidRDefault="00527B1E" w:rsidP="00527B1E">
      <w:pPr>
        <w:rPr>
          <w:rFonts w:ascii="Book Antiqua" w:hAnsi="Book Antiqua"/>
          <w:sz w:val="24"/>
          <w:szCs w:val="24"/>
        </w:rPr>
      </w:pPr>
      <w:r>
        <w:rPr>
          <w:rFonts w:ascii="Book Antiqua" w:hAnsi="Book Antiqua"/>
          <w:sz w:val="24"/>
          <w:szCs w:val="24"/>
        </w:rPr>
        <w:t>“</w:t>
      </w:r>
      <w:r w:rsidRPr="00C904BE">
        <w:rPr>
          <w:rFonts w:ascii="Book Antiqua" w:hAnsi="Book Antiqua"/>
          <w:i/>
          <w:sz w:val="24"/>
          <w:szCs w:val="24"/>
        </w:rPr>
        <w:t>There is plenty of land for projected residential development including commercial and industrial land; just a lack of planning. More planning and stick to it.</w:t>
      </w:r>
      <w:r>
        <w:rPr>
          <w:rFonts w:ascii="Book Antiqua" w:hAnsi="Book Antiqua"/>
          <w:sz w:val="24"/>
          <w:szCs w:val="24"/>
        </w:rPr>
        <w:t xml:space="preserve">” - </w:t>
      </w:r>
      <w:r w:rsidRPr="00C904BE">
        <w:rPr>
          <w:rFonts w:ascii="Book Antiqua" w:hAnsi="Book Antiqua"/>
          <w:sz w:val="24"/>
          <w:szCs w:val="24"/>
        </w:rPr>
        <w:t>Michael Buxton.</w:t>
      </w:r>
      <w:r>
        <w:rPr>
          <w:rStyle w:val="FootnoteReference"/>
          <w:rFonts w:ascii="Book Antiqua" w:hAnsi="Book Antiqua"/>
          <w:sz w:val="24"/>
          <w:szCs w:val="24"/>
        </w:rPr>
        <w:footnoteReference w:id="1"/>
      </w:r>
    </w:p>
    <w:p w:rsidR="00C904BE" w:rsidRDefault="00C904BE" w:rsidP="00734C8E">
      <w:pPr>
        <w:pStyle w:val="Heading1"/>
      </w:pPr>
      <w:r>
        <w:br w:type="page"/>
      </w:r>
      <w:r w:rsidR="00734C8E">
        <w:lastRenderedPageBreak/>
        <w:t>T</w:t>
      </w:r>
      <w:r w:rsidR="00A209EC">
        <w:t xml:space="preserve">he 3068 </w:t>
      </w:r>
      <w:proofErr w:type="spellStart"/>
      <w:r w:rsidR="00734C8E">
        <w:t>Neighbourhood</w:t>
      </w:r>
      <w:proofErr w:type="spellEnd"/>
      <w:r w:rsidR="00734C8E">
        <w:t xml:space="preserve"> </w:t>
      </w:r>
      <w:r w:rsidR="00A209EC">
        <w:t>Group</w:t>
      </w:r>
    </w:p>
    <w:p w:rsidR="00527B1E" w:rsidRDefault="00527B1E" w:rsidP="009250A6">
      <w:pPr>
        <w:pBdr>
          <w:top w:val="single" w:sz="4" w:space="1" w:color="auto"/>
          <w:left w:val="single" w:sz="4" w:space="4" w:color="auto"/>
          <w:bottom w:val="single" w:sz="4" w:space="1" w:color="auto"/>
          <w:right w:val="single" w:sz="4" w:space="4" w:color="auto"/>
        </w:pBdr>
        <w:spacing w:after="120"/>
        <w:rPr>
          <w:rFonts w:ascii="Times New Roman" w:hAnsi="Times New Roman"/>
        </w:rPr>
      </w:pPr>
    </w:p>
    <w:p w:rsidR="009250A6" w:rsidRDefault="009250A6" w:rsidP="009250A6">
      <w:pPr>
        <w:pBdr>
          <w:top w:val="single" w:sz="4" w:space="1" w:color="auto"/>
          <w:left w:val="single" w:sz="4" w:space="4" w:color="auto"/>
          <w:bottom w:val="single" w:sz="4" w:space="1" w:color="auto"/>
          <w:right w:val="single" w:sz="4" w:space="4" w:color="auto"/>
        </w:pBdr>
        <w:spacing w:after="120"/>
        <w:rPr>
          <w:rFonts w:ascii="Times New Roman" w:hAnsi="Times New Roman"/>
        </w:rPr>
      </w:pPr>
      <w:r>
        <w:rPr>
          <w:rFonts w:ascii="Times New Roman" w:hAnsi="Times New Roman"/>
        </w:rPr>
        <w:t>Postcode 3068 covers the areas of Clifton Hill and Fitzroy North.</w:t>
      </w:r>
    </w:p>
    <w:p w:rsidR="009250A6" w:rsidRDefault="009250A6" w:rsidP="009250A6">
      <w:pPr>
        <w:pBdr>
          <w:top w:val="single" w:sz="4" w:space="1" w:color="auto"/>
          <w:left w:val="single" w:sz="4" w:space="4" w:color="auto"/>
          <w:bottom w:val="single" w:sz="4" w:space="1" w:color="auto"/>
          <w:right w:val="single" w:sz="4" w:space="4" w:color="auto"/>
        </w:pBdr>
        <w:spacing w:after="120"/>
        <w:rPr>
          <w:rFonts w:ascii="Times New Roman" w:hAnsi="Times New Roman"/>
        </w:rPr>
      </w:pPr>
      <w:r>
        <w:rPr>
          <w:rFonts w:ascii="Times New Roman" w:hAnsi="Times New Roman"/>
        </w:rPr>
        <w:t>The 3068 Group is a local residents group fighting to conserve the heritage and amenity of our area and to protect it from the encroachment of unsympathetic development.</w:t>
      </w:r>
    </w:p>
    <w:p w:rsidR="009250A6" w:rsidRDefault="009250A6" w:rsidP="009250A6">
      <w:pPr>
        <w:pBdr>
          <w:top w:val="single" w:sz="4" w:space="1" w:color="auto"/>
          <w:left w:val="single" w:sz="4" w:space="4" w:color="auto"/>
          <w:bottom w:val="single" w:sz="4" w:space="1" w:color="auto"/>
          <w:right w:val="single" w:sz="4" w:space="4" w:color="auto"/>
        </w:pBdr>
        <w:spacing w:after="120"/>
        <w:rPr>
          <w:rFonts w:ascii="Times New Roman" w:hAnsi="Times New Roman"/>
        </w:rPr>
      </w:pPr>
      <w:r>
        <w:rPr>
          <w:rFonts w:ascii="Times New Roman" w:hAnsi="Times New Roman"/>
        </w:rPr>
        <w:t xml:space="preserve">We are best known for the successful campaign to save the </w:t>
      </w:r>
      <w:r>
        <w:rPr>
          <w:rFonts w:ascii="Times New Roman" w:hAnsi="Times New Roman"/>
          <w:i/>
        </w:rPr>
        <w:t xml:space="preserve">House of the Gentle </w:t>
      </w:r>
      <w:proofErr w:type="spellStart"/>
      <w:r>
        <w:rPr>
          <w:rFonts w:ascii="Times New Roman" w:hAnsi="Times New Roman"/>
          <w:i/>
        </w:rPr>
        <w:t>Bunyip</w:t>
      </w:r>
      <w:proofErr w:type="spellEnd"/>
      <w:r>
        <w:rPr>
          <w:rFonts w:ascii="Times New Roman" w:hAnsi="Times New Roman"/>
        </w:rPr>
        <w:t xml:space="preserve"> from demolition.</w:t>
      </w:r>
    </w:p>
    <w:p w:rsidR="009250A6" w:rsidRDefault="009250A6" w:rsidP="009250A6">
      <w:pPr>
        <w:pBdr>
          <w:top w:val="single" w:sz="4" w:space="1" w:color="auto"/>
          <w:left w:val="single" w:sz="4" w:space="4" w:color="auto"/>
          <w:bottom w:val="single" w:sz="4" w:space="1" w:color="auto"/>
          <w:right w:val="single" w:sz="4" w:space="4" w:color="auto"/>
        </w:pBdr>
        <w:rPr>
          <w:rFonts w:ascii="Times New Roman" w:hAnsi="Times New Roman"/>
        </w:rPr>
      </w:pPr>
    </w:p>
    <w:p w:rsidR="009250A6" w:rsidRDefault="009250A6" w:rsidP="009250A6">
      <w:pPr>
        <w:pStyle w:val="Heading1"/>
        <w:rPr>
          <w:b w:val="0"/>
          <w:bCs w:val="0"/>
        </w:rPr>
      </w:pPr>
      <w:r>
        <w:rPr>
          <w:b w:val="0"/>
          <w:bCs w:val="0"/>
        </w:rPr>
        <w:t>AIMS</w:t>
      </w:r>
    </w:p>
    <w:p w:rsidR="00407F84" w:rsidRPr="00407F84" w:rsidRDefault="00407F84" w:rsidP="00407F84"/>
    <w:p w:rsidR="00407F84" w:rsidRDefault="00407F84" w:rsidP="00407F84">
      <w:pPr>
        <w:pBdr>
          <w:top w:val="single" w:sz="4" w:space="1" w:color="auto"/>
          <w:left w:val="single" w:sz="4" w:space="4" w:color="auto"/>
          <w:bottom w:val="single" w:sz="4" w:space="1" w:color="auto"/>
          <w:right w:val="single" w:sz="4" w:space="4" w:color="auto"/>
        </w:pBdr>
        <w:rPr>
          <w:rFonts w:ascii="Times New Roman" w:hAnsi="Times New Roman"/>
        </w:rPr>
      </w:pPr>
    </w:p>
    <w:p w:rsidR="00407F84" w:rsidRDefault="00407F84" w:rsidP="00407F84">
      <w:pPr>
        <w:numPr>
          <w:ilvl w:val="0"/>
          <w:numId w:val="4"/>
        </w:numPr>
        <w:pBdr>
          <w:top w:val="single" w:sz="4" w:space="1" w:color="auto"/>
          <w:left w:val="single" w:sz="4" w:space="4" w:color="auto"/>
          <w:bottom w:val="single" w:sz="4" w:space="1" w:color="auto"/>
          <w:right w:val="single" w:sz="4" w:space="4" w:color="auto"/>
        </w:pBdr>
        <w:spacing w:after="60" w:line="240" w:lineRule="auto"/>
        <w:ind w:left="357" w:hanging="357"/>
        <w:rPr>
          <w:rFonts w:ascii="Times New Roman" w:hAnsi="Times New Roman"/>
        </w:rPr>
      </w:pPr>
      <w:r>
        <w:rPr>
          <w:rFonts w:ascii="Times New Roman" w:hAnsi="Times New Roman"/>
        </w:rPr>
        <w:t>To conserve the heritage, streetscape character and amenity of the postcode area of 3068, taking in Clifton Hill and Fitzroy North.</w:t>
      </w:r>
    </w:p>
    <w:p w:rsidR="00407F84" w:rsidRDefault="00407F84" w:rsidP="00407F84">
      <w:pPr>
        <w:numPr>
          <w:ilvl w:val="0"/>
          <w:numId w:val="5"/>
        </w:numPr>
        <w:pBdr>
          <w:top w:val="single" w:sz="4" w:space="1" w:color="auto"/>
          <w:left w:val="single" w:sz="4" w:space="4" w:color="auto"/>
          <w:bottom w:val="single" w:sz="4" w:space="1" w:color="auto"/>
          <w:right w:val="single" w:sz="4" w:space="4" w:color="auto"/>
        </w:pBdr>
        <w:spacing w:after="60" w:line="240" w:lineRule="auto"/>
        <w:ind w:left="357" w:hanging="357"/>
        <w:rPr>
          <w:rFonts w:ascii="Times New Roman" w:hAnsi="Times New Roman"/>
        </w:rPr>
      </w:pPr>
      <w:r>
        <w:rPr>
          <w:rFonts w:ascii="Times New Roman" w:hAnsi="Times New Roman"/>
        </w:rPr>
        <w:t>To protect sites of heritage significance in this area from damage.</w:t>
      </w:r>
    </w:p>
    <w:p w:rsidR="00407F84" w:rsidRDefault="00407F84" w:rsidP="00407F84">
      <w:pPr>
        <w:numPr>
          <w:ilvl w:val="0"/>
          <w:numId w:val="6"/>
        </w:numPr>
        <w:pBdr>
          <w:top w:val="single" w:sz="4" w:space="1" w:color="auto"/>
          <w:left w:val="single" w:sz="4" w:space="4" w:color="auto"/>
          <w:bottom w:val="single" w:sz="4" w:space="1" w:color="auto"/>
          <w:right w:val="single" w:sz="4" w:space="4" w:color="auto"/>
        </w:pBdr>
        <w:spacing w:after="60" w:line="240" w:lineRule="auto"/>
        <w:ind w:left="357" w:hanging="357"/>
        <w:rPr>
          <w:rFonts w:ascii="Times New Roman" w:hAnsi="Times New Roman"/>
        </w:rPr>
      </w:pPr>
      <w:r>
        <w:rPr>
          <w:rFonts w:ascii="Times New Roman" w:hAnsi="Times New Roman"/>
        </w:rPr>
        <w:t>To assist residents to resist inappropriate and unsympathetic developments in the area.</w:t>
      </w:r>
    </w:p>
    <w:p w:rsidR="00407F84" w:rsidRDefault="00407F84" w:rsidP="00407F84">
      <w:pPr>
        <w:numPr>
          <w:ilvl w:val="0"/>
          <w:numId w:val="7"/>
        </w:numPr>
        <w:pBdr>
          <w:top w:val="single" w:sz="4" w:space="1" w:color="auto"/>
          <w:left w:val="single" w:sz="4" w:space="4" w:color="auto"/>
          <w:bottom w:val="single" w:sz="4" w:space="1" w:color="auto"/>
          <w:right w:val="single" w:sz="4" w:space="4" w:color="auto"/>
        </w:pBdr>
        <w:spacing w:after="60" w:line="240" w:lineRule="auto"/>
        <w:ind w:left="357" w:hanging="357"/>
        <w:rPr>
          <w:rFonts w:ascii="Times New Roman" w:hAnsi="Times New Roman"/>
        </w:rPr>
      </w:pPr>
      <w:r>
        <w:rPr>
          <w:rFonts w:ascii="Times New Roman" w:hAnsi="Times New Roman"/>
        </w:rPr>
        <w:t>To improve the planning process and outcomes for residents.</w:t>
      </w:r>
    </w:p>
    <w:p w:rsidR="00407F84" w:rsidRDefault="00407F84" w:rsidP="00407F84">
      <w:pPr>
        <w:numPr>
          <w:ilvl w:val="0"/>
          <w:numId w:val="8"/>
        </w:numPr>
        <w:pBdr>
          <w:top w:val="single" w:sz="4" w:space="1" w:color="auto"/>
          <w:left w:val="single" w:sz="4" w:space="4" w:color="auto"/>
          <w:bottom w:val="single" w:sz="4" w:space="1" w:color="auto"/>
          <w:right w:val="single" w:sz="4" w:space="4" w:color="auto"/>
        </w:pBdr>
        <w:spacing w:after="60" w:line="240" w:lineRule="auto"/>
        <w:ind w:left="357" w:hanging="357"/>
        <w:rPr>
          <w:rFonts w:ascii="Times New Roman" w:hAnsi="Times New Roman"/>
        </w:rPr>
      </w:pPr>
      <w:r>
        <w:rPr>
          <w:rFonts w:ascii="Times New Roman" w:hAnsi="Times New Roman"/>
        </w:rPr>
        <w:t>To support the development of sympathetic building projects which respect the heritage character of the 3068 area.</w:t>
      </w:r>
    </w:p>
    <w:p w:rsidR="00407F84" w:rsidRDefault="00407F84" w:rsidP="00407F84">
      <w:pPr>
        <w:numPr>
          <w:ilvl w:val="0"/>
          <w:numId w:val="8"/>
        </w:numPr>
        <w:pBdr>
          <w:top w:val="single" w:sz="4" w:space="1" w:color="auto"/>
          <w:left w:val="single" w:sz="4" w:space="4" w:color="auto"/>
          <w:bottom w:val="single" w:sz="4" w:space="1" w:color="auto"/>
          <w:right w:val="single" w:sz="4" w:space="4" w:color="auto"/>
        </w:pBdr>
        <w:spacing w:after="60" w:line="240" w:lineRule="auto"/>
        <w:ind w:left="357" w:hanging="357"/>
        <w:rPr>
          <w:rFonts w:ascii="Times New Roman" w:hAnsi="Times New Roman"/>
        </w:rPr>
      </w:pPr>
      <w:r>
        <w:rPr>
          <w:rFonts w:ascii="Times New Roman" w:hAnsi="Times New Roman"/>
        </w:rPr>
        <w:t xml:space="preserve">To promote the value and significance of heritage within </w:t>
      </w:r>
      <w:proofErr w:type="spellStart"/>
      <w:r>
        <w:rPr>
          <w:rFonts w:ascii="Times New Roman" w:hAnsi="Times New Roman"/>
        </w:rPr>
        <w:t>Yarra</w:t>
      </w:r>
      <w:proofErr w:type="spellEnd"/>
      <w:r>
        <w:rPr>
          <w:rFonts w:ascii="Times New Roman" w:hAnsi="Times New Roman"/>
        </w:rPr>
        <w:t xml:space="preserve"> to residents, Council and the wider community.</w:t>
      </w:r>
    </w:p>
    <w:p w:rsidR="009250A6" w:rsidRDefault="009250A6" w:rsidP="009250A6"/>
    <w:p w:rsidR="00A209EC" w:rsidRDefault="00A209EC">
      <w:pPr>
        <w:rPr>
          <w:rFonts w:asciiTheme="majorHAnsi" w:eastAsiaTheme="majorEastAsia" w:hAnsiTheme="majorHAnsi" w:cstheme="majorBidi"/>
          <w:b/>
          <w:bCs/>
          <w:color w:val="365F91" w:themeColor="accent1" w:themeShade="BF"/>
          <w:sz w:val="28"/>
          <w:szCs w:val="28"/>
        </w:rPr>
      </w:pPr>
    </w:p>
    <w:p w:rsidR="00734C8E" w:rsidRDefault="00734C8E">
      <w:pPr>
        <w:rPr>
          <w:rFonts w:asciiTheme="majorHAnsi" w:eastAsiaTheme="majorEastAsia" w:hAnsiTheme="majorHAnsi" w:cstheme="majorBidi"/>
          <w:b/>
          <w:bCs/>
          <w:color w:val="365F91" w:themeColor="accent1" w:themeShade="BF"/>
          <w:sz w:val="28"/>
          <w:szCs w:val="28"/>
        </w:rPr>
      </w:pPr>
      <w:r>
        <w:br w:type="page"/>
      </w:r>
    </w:p>
    <w:p w:rsidR="00C904BE" w:rsidRDefault="00B57A88" w:rsidP="00C904BE">
      <w:pPr>
        <w:pStyle w:val="Heading1"/>
      </w:pPr>
      <w:r w:rsidRPr="00C21FDA">
        <w:lastRenderedPageBreak/>
        <w:t>Introduction</w:t>
      </w:r>
    </w:p>
    <w:p w:rsidR="00734C8E" w:rsidRDefault="00734C8E" w:rsidP="009250A6">
      <w:pPr>
        <w:rPr>
          <w:rFonts w:ascii="Book Antiqua" w:hAnsi="Book Antiqua"/>
          <w:sz w:val="24"/>
          <w:szCs w:val="24"/>
        </w:rPr>
      </w:pPr>
    </w:p>
    <w:p w:rsidR="00A209EC" w:rsidRDefault="009250A6" w:rsidP="00527B1E">
      <w:pPr>
        <w:rPr>
          <w:rFonts w:ascii="Book Antiqua" w:hAnsi="Book Antiqua"/>
          <w:sz w:val="24"/>
          <w:szCs w:val="24"/>
        </w:rPr>
      </w:pPr>
      <w:r w:rsidRPr="00734C8E">
        <w:rPr>
          <w:rFonts w:ascii="Book Antiqua" w:hAnsi="Book Antiqua"/>
          <w:sz w:val="24"/>
          <w:szCs w:val="24"/>
        </w:rPr>
        <w:t>Specifically this submission addresses the North Fit</w:t>
      </w:r>
      <w:r w:rsidR="00734C8E">
        <w:rPr>
          <w:rFonts w:ascii="Book Antiqua" w:hAnsi="Book Antiqua"/>
          <w:sz w:val="24"/>
          <w:szCs w:val="24"/>
        </w:rPr>
        <w:t xml:space="preserve">zroy and Clifton Hill </w:t>
      </w:r>
      <w:r w:rsidR="00527B1E">
        <w:rPr>
          <w:rFonts w:ascii="Book Antiqua" w:hAnsi="Book Antiqua"/>
          <w:sz w:val="24"/>
          <w:szCs w:val="24"/>
        </w:rPr>
        <w:t>Residential Growth Zones</w:t>
      </w:r>
      <w:r w:rsidR="00734C8E">
        <w:rPr>
          <w:rFonts w:ascii="Book Antiqua" w:hAnsi="Book Antiqua"/>
          <w:sz w:val="24"/>
          <w:szCs w:val="24"/>
        </w:rPr>
        <w:t>.</w:t>
      </w:r>
    </w:p>
    <w:p w:rsidR="008E7B40" w:rsidRDefault="00E756EF">
      <w:pPr>
        <w:rPr>
          <w:rFonts w:ascii="Book Antiqua" w:hAnsi="Book Antiqua"/>
          <w:sz w:val="24"/>
          <w:szCs w:val="24"/>
        </w:rPr>
      </w:pPr>
      <w:r>
        <w:rPr>
          <w:rFonts w:ascii="Book Antiqua" w:hAnsi="Book Antiqua"/>
          <w:sz w:val="24"/>
          <w:szCs w:val="24"/>
        </w:rPr>
        <w:t>The s</w:t>
      </w:r>
      <w:r w:rsidR="00A209EC">
        <w:rPr>
          <w:rFonts w:ascii="Book Antiqua" w:hAnsi="Book Antiqua"/>
          <w:sz w:val="24"/>
          <w:szCs w:val="24"/>
        </w:rPr>
        <w:t xml:space="preserve">trategic </w:t>
      </w:r>
      <w:r>
        <w:rPr>
          <w:rFonts w:ascii="Book Antiqua" w:hAnsi="Book Antiqua"/>
          <w:sz w:val="24"/>
          <w:szCs w:val="24"/>
        </w:rPr>
        <w:t>j</w:t>
      </w:r>
      <w:r w:rsidR="00A209EC">
        <w:rPr>
          <w:rFonts w:ascii="Book Antiqua" w:hAnsi="Book Antiqua"/>
          <w:sz w:val="24"/>
          <w:szCs w:val="24"/>
        </w:rPr>
        <w:t xml:space="preserve">ustification </w:t>
      </w:r>
      <w:r>
        <w:rPr>
          <w:rFonts w:ascii="Book Antiqua" w:hAnsi="Book Antiqua"/>
          <w:sz w:val="24"/>
          <w:szCs w:val="24"/>
        </w:rPr>
        <w:t xml:space="preserve">for the amendment </w:t>
      </w:r>
      <w:r w:rsidR="00A209EC">
        <w:rPr>
          <w:rFonts w:ascii="Book Antiqua" w:hAnsi="Book Antiqua"/>
          <w:sz w:val="24"/>
          <w:szCs w:val="24"/>
        </w:rPr>
        <w:t xml:space="preserve">in </w:t>
      </w:r>
      <w:r>
        <w:rPr>
          <w:rFonts w:ascii="Book Antiqua" w:hAnsi="Book Antiqua"/>
          <w:sz w:val="24"/>
          <w:szCs w:val="24"/>
        </w:rPr>
        <w:t>the explanatory r</w:t>
      </w:r>
      <w:r w:rsidR="00A209EC">
        <w:rPr>
          <w:rFonts w:ascii="Book Antiqua" w:hAnsi="Book Antiqua"/>
          <w:sz w:val="24"/>
          <w:szCs w:val="24"/>
        </w:rPr>
        <w:t>eport is lacking:</w:t>
      </w:r>
    </w:p>
    <w:p w:rsidR="00A209EC" w:rsidRDefault="00734C8E" w:rsidP="00A209EC">
      <w:pPr>
        <w:pStyle w:val="Heading3"/>
        <w:tabs>
          <w:tab w:val="left" w:pos="720"/>
        </w:tabs>
        <w:ind w:left="720"/>
        <w:rPr>
          <w:rFonts w:ascii="Arial" w:hAnsi="Arial" w:cs="Arial"/>
        </w:rPr>
      </w:pPr>
      <w:r>
        <w:rPr>
          <w:rFonts w:ascii="Arial" w:hAnsi="Arial" w:cs="Arial"/>
        </w:rPr>
        <w:t>“</w:t>
      </w:r>
      <w:r w:rsidR="00A209EC">
        <w:rPr>
          <w:rFonts w:ascii="Arial" w:hAnsi="Arial" w:cs="Arial"/>
        </w:rPr>
        <w:t xml:space="preserve">Why is the amendment required? </w:t>
      </w:r>
    </w:p>
    <w:p w:rsidR="00A209EC" w:rsidRDefault="00A209EC" w:rsidP="00A209EC">
      <w:pPr>
        <w:pStyle w:val="StrategicAssessmentText"/>
        <w:ind w:left="720"/>
        <w:rPr>
          <w:rFonts w:ascii="Arial" w:hAnsi="Arial" w:cs="Arial"/>
          <w:sz w:val="22"/>
          <w:szCs w:val="22"/>
        </w:rPr>
      </w:pPr>
      <w:r>
        <w:rPr>
          <w:rFonts w:ascii="Arial" w:hAnsi="Arial" w:cs="Arial"/>
          <w:sz w:val="22"/>
          <w:szCs w:val="22"/>
        </w:rPr>
        <w:t xml:space="preserve">“The amendment is required to implement the Residential Growth Zone into the Yarra Planning Scheme. </w:t>
      </w:r>
    </w:p>
    <w:p w:rsidR="00A209EC" w:rsidRDefault="00A209EC" w:rsidP="00A209EC">
      <w:pPr>
        <w:pStyle w:val="StrategicAssessmentText"/>
        <w:ind w:left="720"/>
        <w:rPr>
          <w:rFonts w:ascii="Arial" w:hAnsi="Arial" w:cs="Arial"/>
          <w:sz w:val="22"/>
          <w:szCs w:val="22"/>
        </w:rPr>
      </w:pPr>
      <w:r>
        <w:rPr>
          <w:rFonts w:ascii="Arial" w:hAnsi="Arial" w:cs="Arial"/>
          <w:sz w:val="22"/>
          <w:szCs w:val="22"/>
        </w:rPr>
        <w:t xml:space="preserve">“The amendment will </w:t>
      </w:r>
      <w:r w:rsidRPr="00B301A7">
        <w:rPr>
          <w:rFonts w:ascii="Arial" w:hAnsi="Arial" w:cs="Arial"/>
          <w:b/>
          <w:sz w:val="22"/>
          <w:szCs w:val="22"/>
        </w:rPr>
        <w:t>guide residential development into targeted areas</w:t>
      </w:r>
      <w:r>
        <w:rPr>
          <w:rFonts w:ascii="Arial" w:hAnsi="Arial" w:cs="Arial"/>
          <w:sz w:val="22"/>
          <w:szCs w:val="22"/>
        </w:rPr>
        <w:t xml:space="preserve"> which will encourage the valued character and amenity of established residential areas to be protected.</w:t>
      </w:r>
    </w:p>
    <w:p w:rsidR="00A209EC" w:rsidRDefault="00734C8E" w:rsidP="00A209EC">
      <w:pPr>
        <w:pStyle w:val="Heading3"/>
        <w:tabs>
          <w:tab w:val="left" w:pos="720"/>
        </w:tabs>
        <w:ind w:left="720"/>
        <w:rPr>
          <w:rFonts w:ascii="Arial" w:hAnsi="Arial" w:cs="Arial"/>
        </w:rPr>
      </w:pPr>
      <w:r>
        <w:rPr>
          <w:rFonts w:ascii="Arial" w:hAnsi="Arial" w:cs="Arial"/>
        </w:rPr>
        <w:t>“</w:t>
      </w:r>
      <w:r w:rsidR="00A209EC">
        <w:rPr>
          <w:rFonts w:ascii="Arial" w:hAnsi="Arial" w:cs="Arial"/>
        </w:rPr>
        <w:t>How does the amendment implement the objectives of planning in Victoria?</w:t>
      </w:r>
    </w:p>
    <w:p w:rsidR="00A209EC" w:rsidRDefault="00A209EC" w:rsidP="00A209EC">
      <w:pPr>
        <w:pStyle w:val="StrategicAssessmentText"/>
        <w:ind w:left="720"/>
        <w:rPr>
          <w:rFonts w:ascii="Arial" w:hAnsi="Arial" w:cs="Arial"/>
          <w:sz w:val="22"/>
          <w:szCs w:val="22"/>
        </w:rPr>
      </w:pPr>
      <w:r>
        <w:rPr>
          <w:rFonts w:ascii="Arial" w:hAnsi="Arial" w:cs="Arial"/>
          <w:sz w:val="22"/>
          <w:szCs w:val="22"/>
        </w:rPr>
        <w:t xml:space="preserve">“Amendment C179 is considered to implement the objectives of planning in Victoria by achieving a </w:t>
      </w:r>
      <w:r w:rsidRPr="00A209EC">
        <w:rPr>
          <w:rFonts w:ascii="Arial" w:hAnsi="Arial" w:cs="Arial"/>
          <w:b/>
          <w:sz w:val="22"/>
          <w:szCs w:val="22"/>
        </w:rPr>
        <w:t>balanced</w:t>
      </w:r>
      <w:r>
        <w:rPr>
          <w:rFonts w:ascii="Arial" w:hAnsi="Arial" w:cs="Arial"/>
          <w:sz w:val="22"/>
          <w:szCs w:val="22"/>
        </w:rPr>
        <w:t xml:space="preserve"> </w:t>
      </w:r>
      <w:r w:rsidRPr="00A209EC">
        <w:rPr>
          <w:rFonts w:ascii="Arial" w:hAnsi="Arial" w:cs="Arial"/>
          <w:b/>
          <w:sz w:val="22"/>
          <w:szCs w:val="22"/>
        </w:rPr>
        <w:t>approach</w:t>
      </w:r>
      <w:r>
        <w:rPr>
          <w:rFonts w:ascii="Arial" w:hAnsi="Arial" w:cs="Arial"/>
          <w:sz w:val="22"/>
          <w:szCs w:val="22"/>
        </w:rPr>
        <w:t xml:space="preserve"> towards housing provision within Yarra, </w:t>
      </w:r>
      <w:r w:rsidRPr="00B301A7">
        <w:rPr>
          <w:rFonts w:ascii="Arial" w:hAnsi="Arial" w:cs="Arial"/>
          <w:b/>
          <w:sz w:val="22"/>
          <w:szCs w:val="22"/>
        </w:rPr>
        <w:t>providing</w:t>
      </w:r>
      <w:r>
        <w:rPr>
          <w:rFonts w:ascii="Arial" w:hAnsi="Arial" w:cs="Arial"/>
          <w:sz w:val="22"/>
          <w:szCs w:val="22"/>
        </w:rPr>
        <w:t xml:space="preserve"> </w:t>
      </w:r>
      <w:r w:rsidRPr="00B301A7">
        <w:rPr>
          <w:rFonts w:ascii="Arial" w:hAnsi="Arial" w:cs="Arial"/>
          <w:b/>
          <w:sz w:val="22"/>
          <w:szCs w:val="22"/>
        </w:rPr>
        <w:t>increased housing capacity in locations that are accessible and appropriate</w:t>
      </w:r>
      <w:r>
        <w:rPr>
          <w:rFonts w:ascii="Arial" w:hAnsi="Arial" w:cs="Arial"/>
          <w:sz w:val="22"/>
          <w:szCs w:val="22"/>
        </w:rPr>
        <w:t xml:space="preserve">.” </w:t>
      </w:r>
    </w:p>
    <w:p w:rsidR="00A209EC" w:rsidRDefault="00A209EC">
      <w:pPr>
        <w:rPr>
          <w:rFonts w:ascii="Book Antiqua" w:hAnsi="Book Antiqua"/>
          <w:sz w:val="24"/>
          <w:szCs w:val="24"/>
        </w:rPr>
      </w:pPr>
    </w:p>
    <w:p w:rsidR="00B301A7" w:rsidRDefault="00B301A7">
      <w:pPr>
        <w:rPr>
          <w:rFonts w:ascii="Book Antiqua" w:hAnsi="Book Antiqua"/>
          <w:sz w:val="24"/>
          <w:szCs w:val="24"/>
        </w:rPr>
      </w:pPr>
      <w:proofErr w:type="spellStart"/>
      <w:r>
        <w:rPr>
          <w:rFonts w:ascii="Book Antiqua" w:hAnsi="Book Antiqua"/>
          <w:sz w:val="24"/>
          <w:szCs w:val="24"/>
        </w:rPr>
        <w:t>Yarra</w:t>
      </w:r>
      <w:proofErr w:type="spellEnd"/>
      <w:r>
        <w:rPr>
          <w:rFonts w:ascii="Book Antiqua" w:hAnsi="Book Antiqua"/>
          <w:sz w:val="24"/>
          <w:szCs w:val="24"/>
        </w:rPr>
        <w:t xml:space="preserve"> already has an established and successful policy to ‘</w:t>
      </w:r>
      <w:r w:rsidRPr="00B301A7">
        <w:rPr>
          <w:rFonts w:ascii="Book Antiqua" w:hAnsi="Book Antiqua"/>
          <w:b/>
          <w:sz w:val="24"/>
          <w:szCs w:val="24"/>
        </w:rPr>
        <w:t>guide residential development into targeted areas</w:t>
      </w:r>
      <w:r>
        <w:rPr>
          <w:rFonts w:ascii="Book Antiqua" w:hAnsi="Book Antiqua"/>
          <w:sz w:val="24"/>
          <w:szCs w:val="24"/>
        </w:rPr>
        <w:t>’ providing ‘</w:t>
      </w:r>
      <w:r w:rsidRPr="00B301A7">
        <w:rPr>
          <w:rFonts w:ascii="Book Antiqua" w:hAnsi="Book Antiqua"/>
          <w:b/>
          <w:sz w:val="24"/>
          <w:szCs w:val="24"/>
        </w:rPr>
        <w:t>increased housing capacity into locations that are accessible and appropriate</w:t>
      </w:r>
      <w:r>
        <w:rPr>
          <w:rFonts w:ascii="Book Antiqua" w:hAnsi="Book Antiqua"/>
          <w:sz w:val="24"/>
          <w:szCs w:val="24"/>
        </w:rPr>
        <w:t xml:space="preserve">’. In </w:t>
      </w:r>
      <w:proofErr w:type="spellStart"/>
      <w:r>
        <w:rPr>
          <w:rFonts w:ascii="Book Antiqua" w:hAnsi="Book Antiqua"/>
          <w:sz w:val="24"/>
          <w:szCs w:val="24"/>
        </w:rPr>
        <w:t>Yarra’s</w:t>
      </w:r>
      <w:proofErr w:type="spellEnd"/>
      <w:r>
        <w:rPr>
          <w:rFonts w:ascii="Book Antiqua" w:hAnsi="Book Antiqua"/>
          <w:sz w:val="24"/>
          <w:szCs w:val="24"/>
        </w:rPr>
        <w:t xml:space="preserve"> case these are former industrial sites.  </w:t>
      </w:r>
    </w:p>
    <w:p w:rsidR="00C15404" w:rsidRDefault="00C15404">
      <w:pPr>
        <w:rPr>
          <w:rFonts w:ascii="Book Antiqua" w:hAnsi="Book Antiqua"/>
          <w:sz w:val="24"/>
          <w:szCs w:val="24"/>
        </w:rPr>
      </w:pPr>
      <w:r>
        <w:rPr>
          <w:rFonts w:ascii="Book Antiqua" w:hAnsi="Book Antiqua"/>
          <w:sz w:val="24"/>
          <w:szCs w:val="24"/>
        </w:rPr>
        <w:t xml:space="preserve">We submit that land on Hoddle </w:t>
      </w:r>
      <w:r w:rsidR="00C21FDA">
        <w:rPr>
          <w:rFonts w:ascii="Book Antiqua" w:hAnsi="Book Antiqua"/>
          <w:sz w:val="24"/>
          <w:szCs w:val="24"/>
        </w:rPr>
        <w:t>Street at Clifton Hill a</w:t>
      </w:r>
      <w:r w:rsidR="00C904BE">
        <w:rPr>
          <w:rFonts w:ascii="Book Antiqua" w:hAnsi="Book Antiqua"/>
          <w:sz w:val="24"/>
          <w:szCs w:val="24"/>
        </w:rPr>
        <w:t xml:space="preserve">nd at Victoria Park has greater </w:t>
      </w:r>
      <w:r w:rsidR="00C21FDA">
        <w:rPr>
          <w:rFonts w:ascii="Book Antiqua" w:hAnsi="Book Antiqua"/>
          <w:sz w:val="24"/>
          <w:szCs w:val="24"/>
        </w:rPr>
        <w:t>accessibility, more capacity and fewer amenity constraints on housing growth and diversity than that proposed in the Amendment</w:t>
      </w:r>
      <w:r w:rsidR="00D37A0D">
        <w:rPr>
          <w:rFonts w:ascii="Book Antiqua" w:hAnsi="Book Antiqua"/>
          <w:sz w:val="24"/>
          <w:szCs w:val="24"/>
        </w:rPr>
        <w:t xml:space="preserve"> and shares many of the strategic attributes of the Urban Renewal areas in Plan Melbourne</w:t>
      </w:r>
      <w:r w:rsidR="00C21FDA">
        <w:rPr>
          <w:rFonts w:ascii="Book Antiqua" w:hAnsi="Book Antiqua"/>
          <w:sz w:val="24"/>
          <w:szCs w:val="24"/>
        </w:rPr>
        <w:t>.</w:t>
      </w:r>
    </w:p>
    <w:p w:rsidR="00C904BE" w:rsidRDefault="00527B1E">
      <w:pPr>
        <w:rPr>
          <w:rFonts w:ascii="Book Antiqua" w:hAnsi="Book Antiqua"/>
          <w:sz w:val="24"/>
          <w:szCs w:val="24"/>
        </w:rPr>
      </w:pPr>
      <w:r>
        <w:rPr>
          <w:rFonts w:ascii="Book Antiqua" w:hAnsi="Book Antiqua"/>
          <w:sz w:val="24"/>
          <w:szCs w:val="24"/>
        </w:rPr>
        <w:t>Prime la</w:t>
      </w:r>
      <w:r w:rsidR="00C21FDA">
        <w:rPr>
          <w:rFonts w:ascii="Book Antiqua" w:hAnsi="Book Antiqua"/>
          <w:sz w:val="24"/>
          <w:szCs w:val="24"/>
        </w:rPr>
        <w:t>nd presently zoned</w:t>
      </w:r>
      <w:r w:rsidR="00C904BE">
        <w:rPr>
          <w:rFonts w:ascii="Book Antiqua" w:hAnsi="Book Antiqua"/>
          <w:sz w:val="24"/>
          <w:szCs w:val="24"/>
        </w:rPr>
        <w:t xml:space="preserve"> </w:t>
      </w:r>
      <w:r w:rsidR="00D37A0D">
        <w:rPr>
          <w:rFonts w:ascii="Book Antiqua" w:hAnsi="Book Antiqua"/>
          <w:sz w:val="24"/>
          <w:szCs w:val="24"/>
        </w:rPr>
        <w:t xml:space="preserve">B1Z, </w:t>
      </w:r>
      <w:r w:rsidR="00C21FDA">
        <w:rPr>
          <w:rFonts w:ascii="Book Antiqua" w:hAnsi="Book Antiqua"/>
          <w:sz w:val="24"/>
          <w:szCs w:val="24"/>
        </w:rPr>
        <w:t>B3Z</w:t>
      </w:r>
      <w:r w:rsidR="00C904BE">
        <w:rPr>
          <w:rFonts w:ascii="Book Antiqua" w:hAnsi="Book Antiqua"/>
          <w:sz w:val="24"/>
          <w:szCs w:val="24"/>
        </w:rPr>
        <w:t>,</w:t>
      </w:r>
      <w:r w:rsidR="00C21FDA">
        <w:rPr>
          <w:rFonts w:ascii="Book Antiqua" w:hAnsi="Book Antiqua"/>
          <w:sz w:val="24"/>
          <w:szCs w:val="24"/>
        </w:rPr>
        <w:t xml:space="preserve"> B4Z and MUZ</w:t>
      </w:r>
      <w:r w:rsidR="00C3153A">
        <w:rPr>
          <w:rStyle w:val="FootnoteReference"/>
          <w:rFonts w:ascii="Book Antiqua" w:hAnsi="Book Antiqua"/>
          <w:sz w:val="24"/>
          <w:szCs w:val="24"/>
        </w:rPr>
        <w:footnoteReference w:id="2"/>
      </w:r>
      <w:r w:rsidR="00C21FDA">
        <w:rPr>
          <w:rFonts w:ascii="Book Antiqua" w:hAnsi="Book Antiqua"/>
          <w:sz w:val="24"/>
          <w:szCs w:val="24"/>
        </w:rPr>
        <w:t xml:space="preserve"> </w:t>
      </w:r>
      <w:r w:rsidR="00C3153A">
        <w:rPr>
          <w:rFonts w:ascii="Book Antiqua" w:hAnsi="Book Antiqua"/>
          <w:sz w:val="24"/>
          <w:szCs w:val="24"/>
        </w:rPr>
        <w:t xml:space="preserve">near the Clifton Hill and Victoria Park railway stations on the South Morang &amp; </w:t>
      </w:r>
      <w:proofErr w:type="spellStart"/>
      <w:r w:rsidR="00C3153A">
        <w:rPr>
          <w:rFonts w:ascii="Book Antiqua" w:hAnsi="Book Antiqua"/>
          <w:sz w:val="24"/>
          <w:szCs w:val="24"/>
        </w:rPr>
        <w:t>Hurstbridge</w:t>
      </w:r>
      <w:proofErr w:type="spellEnd"/>
      <w:r w:rsidR="00C3153A">
        <w:rPr>
          <w:rFonts w:ascii="Book Antiqua" w:hAnsi="Book Antiqua"/>
          <w:sz w:val="24"/>
          <w:szCs w:val="24"/>
        </w:rPr>
        <w:t xml:space="preserve"> lines is under</w:t>
      </w:r>
      <w:r w:rsidR="00F90394">
        <w:rPr>
          <w:rFonts w:ascii="Book Antiqua" w:hAnsi="Book Antiqua"/>
          <w:sz w:val="24"/>
          <w:szCs w:val="24"/>
        </w:rPr>
        <w:t>-</w:t>
      </w:r>
      <w:r w:rsidR="00C904BE">
        <w:rPr>
          <w:rFonts w:ascii="Book Antiqua" w:hAnsi="Book Antiqua"/>
          <w:sz w:val="24"/>
          <w:szCs w:val="24"/>
        </w:rPr>
        <w:t>developed.</w:t>
      </w:r>
    </w:p>
    <w:p w:rsidR="00C904BE" w:rsidRDefault="00C3153A">
      <w:pPr>
        <w:rPr>
          <w:rFonts w:ascii="Book Antiqua" w:hAnsi="Book Antiqua"/>
          <w:sz w:val="24"/>
          <w:szCs w:val="24"/>
        </w:rPr>
      </w:pPr>
      <w:r>
        <w:rPr>
          <w:rFonts w:ascii="Book Antiqua" w:hAnsi="Book Antiqua"/>
          <w:sz w:val="24"/>
          <w:szCs w:val="24"/>
        </w:rPr>
        <w:t>Th</w:t>
      </w:r>
      <w:r w:rsidR="00D308D7">
        <w:rPr>
          <w:rFonts w:ascii="Book Antiqua" w:hAnsi="Book Antiqua"/>
          <w:sz w:val="24"/>
          <w:szCs w:val="24"/>
        </w:rPr>
        <w:t>is</w:t>
      </w:r>
      <w:r>
        <w:rPr>
          <w:rFonts w:ascii="Book Antiqua" w:hAnsi="Book Antiqua"/>
          <w:sz w:val="24"/>
          <w:szCs w:val="24"/>
        </w:rPr>
        <w:t xml:space="preserve"> land is currently used for</w:t>
      </w:r>
      <w:r w:rsidR="00E374B2">
        <w:rPr>
          <w:rFonts w:ascii="Book Antiqua" w:hAnsi="Book Antiqua"/>
          <w:sz w:val="24"/>
          <w:szCs w:val="24"/>
        </w:rPr>
        <w:t xml:space="preserve"> timber and builder</w:t>
      </w:r>
      <w:r w:rsidR="00527B1E">
        <w:rPr>
          <w:rFonts w:ascii="Book Antiqua" w:hAnsi="Book Antiqua"/>
          <w:sz w:val="24"/>
          <w:szCs w:val="24"/>
        </w:rPr>
        <w:t>s</w:t>
      </w:r>
      <w:r w:rsidR="00E374B2">
        <w:rPr>
          <w:rFonts w:ascii="Book Antiqua" w:hAnsi="Book Antiqua"/>
          <w:sz w:val="24"/>
          <w:szCs w:val="24"/>
        </w:rPr>
        <w:t xml:space="preserve">’ hardware, </w:t>
      </w:r>
      <w:r w:rsidR="00781B0D">
        <w:rPr>
          <w:rFonts w:ascii="Book Antiqua" w:hAnsi="Book Antiqua"/>
          <w:sz w:val="24"/>
          <w:szCs w:val="24"/>
        </w:rPr>
        <w:t>two bathroom</w:t>
      </w:r>
      <w:r>
        <w:rPr>
          <w:rFonts w:ascii="Book Antiqua" w:hAnsi="Book Antiqua"/>
          <w:sz w:val="24"/>
          <w:szCs w:val="24"/>
        </w:rPr>
        <w:t xml:space="preserve"> supplies, luxury car repairs, a tyre service, </w:t>
      </w:r>
      <w:r w:rsidR="00C904BE">
        <w:rPr>
          <w:rFonts w:ascii="Book Antiqua" w:hAnsi="Book Antiqua"/>
          <w:sz w:val="24"/>
          <w:szCs w:val="24"/>
        </w:rPr>
        <w:t>self-storage</w:t>
      </w:r>
      <w:r>
        <w:rPr>
          <w:rFonts w:ascii="Book Antiqua" w:hAnsi="Book Antiqua"/>
          <w:sz w:val="24"/>
          <w:szCs w:val="24"/>
        </w:rPr>
        <w:t>, a concrete batching plant</w:t>
      </w:r>
      <w:r w:rsidR="00A04D7D">
        <w:rPr>
          <w:rFonts w:ascii="Book Antiqua" w:hAnsi="Book Antiqua"/>
          <w:sz w:val="24"/>
          <w:szCs w:val="24"/>
        </w:rPr>
        <w:t>,</w:t>
      </w:r>
      <w:r>
        <w:rPr>
          <w:rFonts w:ascii="Book Antiqua" w:hAnsi="Book Antiqua"/>
          <w:sz w:val="24"/>
          <w:szCs w:val="24"/>
        </w:rPr>
        <w:t xml:space="preserve"> insurance offices, truck accessories and hamburgers.</w:t>
      </w:r>
      <w:r w:rsidR="00E374B2">
        <w:rPr>
          <w:rStyle w:val="FootnoteReference"/>
          <w:rFonts w:ascii="Book Antiqua" w:hAnsi="Book Antiqua"/>
          <w:sz w:val="24"/>
          <w:szCs w:val="24"/>
        </w:rPr>
        <w:footnoteReference w:id="3"/>
      </w:r>
    </w:p>
    <w:p w:rsidR="00C904BE" w:rsidRDefault="00C904BE">
      <w:pPr>
        <w:rPr>
          <w:rFonts w:ascii="Book Antiqua" w:hAnsi="Book Antiqua"/>
          <w:sz w:val="24"/>
          <w:szCs w:val="24"/>
        </w:rPr>
      </w:pPr>
      <w:r>
        <w:rPr>
          <w:rFonts w:ascii="Book Antiqua" w:hAnsi="Book Antiqua"/>
          <w:sz w:val="24"/>
          <w:szCs w:val="24"/>
        </w:rPr>
        <w:t xml:space="preserve">Land zoned PUZ </w:t>
      </w:r>
      <w:r w:rsidR="009E0DD2">
        <w:rPr>
          <w:rFonts w:ascii="Book Antiqua" w:hAnsi="Book Antiqua"/>
          <w:sz w:val="24"/>
          <w:szCs w:val="24"/>
        </w:rPr>
        <w:t>on Alex</w:t>
      </w:r>
      <w:r>
        <w:rPr>
          <w:rFonts w:ascii="Book Antiqua" w:hAnsi="Book Antiqua"/>
          <w:sz w:val="24"/>
          <w:szCs w:val="24"/>
        </w:rPr>
        <w:t>andra</w:t>
      </w:r>
      <w:r w:rsidR="009E0DD2">
        <w:rPr>
          <w:rFonts w:ascii="Book Antiqua" w:hAnsi="Book Antiqua"/>
          <w:sz w:val="24"/>
          <w:szCs w:val="24"/>
        </w:rPr>
        <w:t xml:space="preserve"> Parade,</w:t>
      </w:r>
      <w:r>
        <w:rPr>
          <w:rFonts w:ascii="Book Antiqua" w:hAnsi="Book Antiqua"/>
          <w:sz w:val="24"/>
          <w:szCs w:val="24"/>
        </w:rPr>
        <w:t xml:space="preserve"> Smith Street and Queens Parade, </w:t>
      </w:r>
      <w:r w:rsidR="00BD2C99">
        <w:rPr>
          <w:rFonts w:ascii="Book Antiqua" w:hAnsi="Book Antiqua"/>
          <w:sz w:val="24"/>
          <w:szCs w:val="24"/>
        </w:rPr>
        <w:t xml:space="preserve">the former Collingwood gasworks </w:t>
      </w:r>
      <w:r w:rsidR="009E0DD2">
        <w:rPr>
          <w:rFonts w:ascii="Book Antiqua" w:hAnsi="Book Antiqua"/>
          <w:sz w:val="24"/>
          <w:szCs w:val="24"/>
        </w:rPr>
        <w:t>remains</w:t>
      </w:r>
      <w:r w:rsidR="00BD2C99">
        <w:rPr>
          <w:rFonts w:ascii="Book Antiqua" w:hAnsi="Book Antiqua"/>
          <w:sz w:val="24"/>
          <w:szCs w:val="24"/>
        </w:rPr>
        <w:t xml:space="preserve"> under-developed</w:t>
      </w:r>
      <w:r w:rsidR="009E0DD2">
        <w:rPr>
          <w:rFonts w:ascii="Book Antiqua" w:hAnsi="Book Antiqua"/>
          <w:sz w:val="24"/>
          <w:szCs w:val="24"/>
        </w:rPr>
        <w:t>.</w:t>
      </w:r>
      <w:r w:rsidR="00882466">
        <w:rPr>
          <w:rFonts w:ascii="Book Antiqua" w:hAnsi="Book Antiqua"/>
          <w:sz w:val="24"/>
          <w:szCs w:val="24"/>
        </w:rPr>
        <w:t xml:space="preserve"> The gas works is a 6 ha site. </w:t>
      </w:r>
    </w:p>
    <w:p w:rsidR="00882466" w:rsidRDefault="00882466" w:rsidP="00882466"/>
    <w:p w:rsidR="00882466" w:rsidRDefault="00882466">
      <w:pPr>
        <w:rPr>
          <w:rFonts w:asciiTheme="majorHAnsi" w:eastAsiaTheme="majorEastAsia" w:hAnsiTheme="majorHAnsi" w:cstheme="majorBidi"/>
          <w:b/>
          <w:bCs/>
          <w:color w:val="365F91" w:themeColor="accent1" w:themeShade="BF"/>
          <w:sz w:val="28"/>
          <w:szCs w:val="28"/>
        </w:rPr>
      </w:pPr>
      <w:r>
        <w:br w:type="page"/>
      </w:r>
    </w:p>
    <w:p w:rsidR="00882466" w:rsidRDefault="00882466" w:rsidP="00E277BE">
      <w:pPr>
        <w:pStyle w:val="Heading1"/>
      </w:pPr>
      <w:r>
        <w:lastRenderedPageBreak/>
        <w:t>Proposed Rezoning or Residential Areas in the heritage overlay</w:t>
      </w:r>
    </w:p>
    <w:p w:rsidR="00882466" w:rsidRDefault="00882466" w:rsidP="00882466"/>
    <w:p w:rsidR="00E756EF" w:rsidRDefault="00E756EF" w:rsidP="00E756EF">
      <w:pPr>
        <w:ind w:left="720"/>
        <w:rPr>
          <w:rFonts w:ascii="Book Antiqua" w:hAnsi="Book Antiqua"/>
          <w:sz w:val="24"/>
          <w:szCs w:val="24"/>
        </w:rPr>
      </w:pPr>
      <w:r w:rsidRPr="00C904BE">
        <w:rPr>
          <w:rFonts w:ascii="Book Antiqua" w:hAnsi="Book Antiqua"/>
          <w:b/>
          <w:sz w:val="24"/>
          <w:szCs w:val="24"/>
        </w:rPr>
        <w:t>Objective of the Residential Zones</w:t>
      </w:r>
      <w:proofErr w:type="gramStart"/>
      <w:r w:rsidRPr="00C904BE">
        <w:rPr>
          <w:rFonts w:ascii="Book Antiqua" w:hAnsi="Book Antiqua"/>
          <w:b/>
          <w:sz w:val="24"/>
          <w:szCs w:val="24"/>
        </w:rPr>
        <w:t>:</w:t>
      </w:r>
      <w:proofErr w:type="gramEnd"/>
      <w:r w:rsidRPr="00C904BE">
        <w:rPr>
          <w:rFonts w:ascii="Book Antiqua" w:hAnsi="Book Antiqua"/>
          <w:b/>
          <w:sz w:val="24"/>
          <w:szCs w:val="24"/>
        </w:rPr>
        <w:br/>
      </w:r>
      <w:r>
        <w:rPr>
          <w:rFonts w:ascii="Book Antiqua" w:hAnsi="Book Antiqua"/>
          <w:sz w:val="24"/>
          <w:szCs w:val="24"/>
        </w:rPr>
        <w:t>A suite of statutory tools for a planning authority to implement state and local policies and strategies  to better plan for residential development.</w:t>
      </w:r>
      <w:bookmarkStart w:id="0" w:name="_Ref397968247"/>
      <w:r>
        <w:rPr>
          <w:rStyle w:val="FootnoteReference"/>
          <w:rFonts w:ascii="Book Antiqua" w:hAnsi="Book Antiqua"/>
          <w:sz w:val="24"/>
          <w:szCs w:val="24"/>
        </w:rPr>
        <w:footnoteReference w:id="4"/>
      </w:r>
      <w:bookmarkEnd w:id="0"/>
      <w:r>
        <w:rPr>
          <w:rFonts w:ascii="Book Antiqua" w:hAnsi="Book Antiqua"/>
          <w:sz w:val="24"/>
          <w:szCs w:val="24"/>
        </w:rPr>
        <w:br/>
      </w:r>
      <w:r>
        <w:rPr>
          <w:rFonts w:ascii="Book Antiqua" w:hAnsi="Book Antiqua"/>
          <w:sz w:val="24"/>
          <w:szCs w:val="24"/>
        </w:rPr>
        <w:br/>
        <w:t>The Residential Growth Zone (RGZ) enables new housing growth and diversity</w:t>
      </w:r>
      <w:r>
        <w:rPr>
          <w:rStyle w:val="FootnoteReference"/>
          <w:rFonts w:ascii="Book Antiqua" w:hAnsi="Book Antiqua"/>
          <w:sz w:val="24"/>
          <w:szCs w:val="24"/>
        </w:rPr>
        <w:footnoteReference w:id="5"/>
      </w:r>
      <w:r>
        <w:rPr>
          <w:rFonts w:ascii="Book Antiqua" w:hAnsi="Book Antiqua"/>
          <w:sz w:val="24"/>
          <w:szCs w:val="24"/>
        </w:rPr>
        <w:t>.</w:t>
      </w:r>
    </w:p>
    <w:p w:rsidR="00882466" w:rsidRDefault="00882466" w:rsidP="00882466">
      <w:pPr>
        <w:rPr>
          <w:rFonts w:ascii="Book Antiqua" w:hAnsi="Book Antiqua"/>
          <w:sz w:val="24"/>
          <w:szCs w:val="24"/>
        </w:rPr>
      </w:pPr>
      <w:r w:rsidRPr="00882466">
        <w:rPr>
          <w:rFonts w:ascii="Book Antiqua" w:hAnsi="Book Antiqua"/>
          <w:sz w:val="24"/>
          <w:szCs w:val="24"/>
        </w:rPr>
        <w:t xml:space="preserve">Since </w:t>
      </w:r>
      <w:r>
        <w:rPr>
          <w:rFonts w:ascii="Book Antiqua" w:hAnsi="Book Antiqua"/>
          <w:sz w:val="24"/>
          <w:szCs w:val="24"/>
        </w:rPr>
        <w:t>Melbourne 2030 was proposed in 2000</w:t>
      </w:r>
      <w:r w:rsidRPr="00882466">
        <w:rPr>
          <w:rFonts w:ascii="Book Antiqua" w:hAnsi="Book Antiqua"/>
          <w:sz w:val="24"/>
          <w:szCs w:val="24"/>
        </w:rPr>
        <w:t xml:space="preserve">, </w:t>
      </w:r>
      <w:proofErr w:type="spellStart"/>
      <w:r w:rsidRPr="00882466">
        <w:rPr>
          <w:rFonts w:ascii="Book Antiqua" w:hAnsi="Book Antiqua"/>
          <w:sz w:val="24"/>
          <w:szCs w:val="24"/>
        </w:rPr>
        <w:t>Yarra</w:t>
      </w:r>
      <w:r>
        <w:rPr>
          <w:rFonts w:ascii="Book Antiqua" w:hAnsi="Book Antiqua"/>
          <w:sz w:val="24"/>
          <w:szCs w:val="24"/>
        </w:rPr>
        <w:t>’s</w:t>
      </w:r>
      <w:proofErr w:type="spellEnd"/>
      <w:r w:rsidRPr="00882466">
        <w:rPr>
          <w:rFonts w:ascii="Book Antiqua" w:hAnsi="Book Antiqua"/>
          <w:sz w:val="24"/>
          <w:szCs w:val="24"/>
        </w:rPr>
        <w:t xml:space="preserve"> </w:t>
      </w:r>
      <w:r>
        <w:rPr>
          <w:rFonts w:ascii="Book Antiqua" w:hAnsi="Book Antiqua"/>
          <w:sz w:val="24"/>
          <w:szCs w:val="24"/>
        </w:rPr>
        <w:t>policy has been to direct significant development to former industrial land. This reduces development pressure on historic residential precincts, which have been densely developed since the 19</w:t>
      </w:r>
      <w:r w:rsidRPr="00882466">
        <w:rPr>
          <w:rFonts w:ascii="Book Antiqua" w:hAnsi="Book Antiqua"/>
          <w:sz w:val="24"/>
          <w:szCs w:val="24"/>
          <w:vertAlign w:val="superscript"/>
        </w:rPr>
        <w:t>th</w:t>
      </w:r>
      <w:r>
        <w:rPr>
          <w:rFonts w:ascii="Book Antiqua" w:hAnsi="Book Antiqua"/>
          <w:sz w:val="24"/>
          <w:szCs w:val="24"/>
        </w:rPr>
        <w:t xml:space="preserve"> century, while providing a diversity of development opportunities.</w:t>
      </w:r>
    </w:p>
    <w:p w:rsidR="00E756EF" w:rsidRDefault="00E756EF" w:rsidP="00882466">
      <w:pPr>
        <w:rPr>
          <w:rFonts w:ascii="Book Antiqua" w:hAnsi="Book Antiqua"/>
          <w:sz w:val="24"/>
          <w:szCs w:val="24"/>
        </w:rPr>
      </w:pPr>
      <w:r>
        <w:rPr>
          <w:rFonts w:ascii="Book Antiqua" w:hAnsi="Book Antiqua"/>
          <w:sz w:val="24"/>
          <w:szCs w:val="24"/>
        </w:rPr>
        <w:t xml:space="preserve">Directing development away from Activity </w:t>
      </w:r>
      <w:proofErr w:type="spellStart"/>
      <w:r>
        <w:rPr>
          <w:rFonts w:ascii="Book Antiqua" w:hAnsi="Book Antiqua"/>
          <w:sz w:val="24"/>
          <w:szCs w:val="24"/>
        </w:rPr>
        <w:t>Centres</w:t>
      </w:r>
      <w:proofErr w:type="spellEnd"/>
      <w:r>
        <w:rPr>
          <w:rFonts w:ascii="Book Antiqua" w:hAnsi="Book Antiqua"/>
          <w:sz w:val="24"/>
          <w:szCs w:val="24"/>
        </w:rPr>
        <w:t xml:space="preserve">, which in </w:t>
      </w:r>
      <w:proofErr w:type="spellStart"/>
      <w:r>
        <w:rPr>
          <w:rFonts w:ascii="Book Antiqua" w:hAnsi="Book Antiqua"/>
          <w:sz w:val="24"/>
          <w:szCs w:val="24"/>
        </w:rPr>
        <w:t>Yarra</w:t>
      </w:r>
      <w:proofErr w:type="spellEnd"/>
      <w:r>
        <w:rPr>
          <w:rFonts w:ascii="Book Antiqua" w:hAnsi="Book Antiqua"/>
          <w:sz w:val="24"/>
          <w:szCs w:val="24"/>
        </w:rPr>
        <w:t xml:space="preserve"> are historic retail streets</w:t>
      </w:r>
      <w:r w:rsidR="000264B6">
        <w:rPr>
          <w:rFonts w:ascii="Book Antiqua" w:hAnsi="Book Antiqua"/>
          <w:sz w:val="24"/>
          <w:szCs w:val="24"/>
        </w:rPr>
        <w:t>,</w:t>
      </w:r>
      <w:r>
        <w:rPr>
          <w:rFonts w:ascii="Book Antiqua" w:hAnsi="Book Antiqua"/>
          <w:sz w:val="24"/>
          <w:szCs w:val="24"/>
        </w:rPr>
        <w:t xml:space="preserve"> was </w:t>
      </w:r>
      <w:r w:rsidR="000264B6">
        <w:rPr>
          <w:rFonts w:ascii="Book Antiqua" w:hAnsi="Book Antiqua"/>
          <w:sz w:val="24"/>
          <w:szCs w:val="24"/>
        </w:rPr>
        <w:t xml:space="preserve">considered </w:t>
      </w:r>
      <w:r>
        <w:rPr>
          <w:rFonts w:ascii="Book Antiqua" w:hAnsi="Book Antiqua"/>
          <w:sz w:val="24"/>
          <w:szCs w:val="24"/>
        </w:rPr>
        <w:t>to be in conflict with the state planning provisions for Melbourne 2030.</w:t>
      </w:r>
      <w:r w:rsidR="000264B6">
        <w:rPr>
          <w:rFonts w:ascii="Book Antiqua" w:hAnsi="Book Antiqua"/>
          <w:sz w:val="24"/>
          <w:szCs w:val="24"/>
        </w:rPr>
        <w:t xml:space="preserve"> </w:t>
      </w:r>
      <w:r>
        <w:rPr>
          <w:rFonts w:ascii="Book Antiqua" w:hAnsi="Book Antiqua"/>
          <w:sz w:val="24"/>
          <w:szCs w:val="24"/>
        </w:rPr>
        <w:t>This policy is discussed in depth the interim and final panel report</w:t>
      </w:r>
      <w:r w:rsidR="000264B6">
        <w:rPr>
          <w:rFonts w:ascii="Book Antiqua" w:hAnsi="Book Antiqua"/>
          <w:sz w:val="24"/>
          <w:szCs w:val="24"/>
        </w:rPr>
        <w:t xml:space="preserve"> for Amendment C84</w:t>
      </w:r>
      <w:r>
        <w:rPr>
          <w:rFonts w:ascii="Book Antiqua" w:hAnsi="Book Antiqua"/>
          <w:sz w:val="24"/>
          <w:szCs w:val="24"/>
        </w:rPr>
        <w:t>.</w:t>
      </w:r>
      <w:r>
        <w:rPr>
          <w:rStyle w:val="FootnoteReference"/>
          <w:rFonts w:ascii="Book Antiqua" w:hAnsi="Book Antiqua"/>
          <w:sz w:val="24"/>
          <w:szCs w:val="24"/>
        </w:rPr>
        <w:footnoteReference w:id="6"/>
      </w:r>
      <w:r w:rsidR="000264B6">
        <w:rPr>
          <w:rFonts w:ascii="Book Antiqua" w:hAnsi="Book Antiqua"/>
          <w:sz w:val="24"/>
          <w:szCs w:val="24"/>
        </w:rPr>
        <w:t xml:space="preserve"> Ultimately the conflict was resolved in </w:t>
      </w:r>
      <w:proofErr w:type="spellStart"/>
      <w:r w:rsidR="000264B6">
        <w:rPr>
          <w:rFonts w:ascii="Book Antiqua" w:hAnsi="Book Antiqua"/>
          <w:sz w:val="24"/>
          <w:szCs w:val="24"/>
        </w:rPr>
        <w:t>Yarra’s</w:t>
      </w:r>
      <w:proofErr w:type="spellEnd"/>
      <w:r w:rsidR="000264B6">
        <w:rPr>
          <w:rFonts w:ascii="Book Antiqua" w:hAnsi="Book Antiqua"/>
          <w:sz w:val="24"/>
          <w:szCs w:val="24"/>
        </w:rPr>
        <w:t xml:space="preserve"> </w:t>
      </w:r>
      <w:proofErr w:type="spellStart"/>
      <w:r w:rsidR="000264B6">
        <w:rPr>
          <w:rFonts w:ascii="Book Antiqua" w:hAnsi="Book Antiqua"/>
          <w:sz w:val="24"/>
          <w:szCs w:val="24"/>
        </w:rPr>
        <w:t>favour</w:t>
      </w:r>
      <w:proofErr w:type="spellEnd"/>
      <w:r w:rsidR="000264B6">
        <w:rPr>
          <w:rFonts w:ascii="Book Antiqua" w:hAnsi="Book Antiqua"/>
          <w:sz w:val="24"/>
          <w:szCs w:val="24"/>
        </w:rPr>
        <w:t>.</w:t>
      </w:r>
    </w:p>
    <w:p w:rsidR="00882466" w:rsidRDefault="000264B6" w:rsidP="00882466">
      <w:pPr>
        <w:rPr>
          <w:rFonts w:ascii="Book Antiqua" w:hAnsi="Book Antiqua"/>
          <w:sz w:val="24"/>
          <w:szCs w:val="24"/>
        </w:rPr>
      </w:pPr>
      <w:r>
        <w:rPr>
          <w:rFonts w:ascii="Book Antiqua" w:hAnsi="Book Antiqua"/>
          <w:sz w:val="24"/>
          <w:szCs w:val="24"/>
        </w:rPr>
        <w:t>T</w:t>
      </w:r>
      <w:r w:rsidR="00882466">
        <w:rPr>
          <w:rFonts w:ascii="Book Antiqua" w:hAnsi="Book Antiqua"/>
          <w:sz w:val="24"/>
          <w:szCs w:val="24"/>
        </w:rPr>
        <w:t xml:space="preserve">he </w:t>
      </w:r>
      <w:r w:rsidR="00882466" w:rsidRPr="00882466">
        <w:rPr>
          <w:rFonts w:ascii="Book Antiqua" w:hAnsi="Book Antiqua"/>
          <w:i/>
          <w:sz w:val="24"/>
          <w:szCs w:val="24"/>
        </w:rPr>
        <w:t>Housing and Population Report</w:t>
      </w:r>
      <w:r w:rsidR="00E756EF">
        <w:rPr>
          <w:rFonts w:ascii="Book Antiqua" w:hAnsi="Book Antiqua"/>
          <w:sz w:val="24"/>
          <w:szCs w:val="24"/>
        </w:rPr>
        <w:t xml:space="preserve"> supporting this a</w:t>
      </w:r>
      <w:r w:rsidR="00882466">
        <w:rPr>
          <w:rFonts w:ascii="Book Antiqua" w:hAnsi="Book Antiqua"/>
          <w:sz w:val="24"/>
          <w:szCs w:val="24"/>
        </w:rPr>
        <w:t xml:space="preserve">mendment </w:t>
      </w:r>
      <w:r w:rsidR="00E756EF">
        <w:rPr>
          <w:rFonts w:ascii="Book Antiqua" w:hAnsi="Book Antiqua"/>
          <w:sz w:val="24"/>
          <w:szCs w:val="24"/>
        </w:rPr>
        <w:t>(</w:t>
      </w:r>
      <w:r w:rsidR="00882466">
        <w:rPr>
          <w:rFonts w:ascii="Book Antiqua" w:hAnsi="Book Antiqua"/>
          <w:sz w:val="24"/>
          <w:szCs w:val="24"/>
        </w:rPr>
        <w:t>C179</w:t>
      </w:r>
      <w:r w:rsidR="00E756EF">
        <w:rPr>
          <w:rFonts w:ascii="Book Antiqua" w:hAnsi="Book Antiqua"/>
          <w:sz w:val="24"/>
          <w:szCs w:val="24"/>
        </w:rPr>
        <w:t>)</w:t>
      </w:r>
      <w:r w:rsidR="00882466">
        <w:rPr>
          <w:rFonts w:ascii="Book Antiqua" w:hAnsi="Book Antiqua"/>
          <w:sz w:val="24"/>
          <w:szCs w:val="24"/>
        </w:rPr>
        <w:t xml:space="preserve"> provides evidence that this policy has been successful. </w:t>
      </w:r>
      <w:proofErr w:type="spellStart"/>
      <w:r w:rsidR="00794594">
        <w:rPr>
          <w:rFonts w:ascii="Book Antiqua" w:hAnsi="Book Antiqua"/>
          <w:sz w:val="24"/>
          <w:szCs w:val="24"/>
        </w:rPr>
        <w:t>Yarra</w:t>
      </w:r>
      <w:proofErr w:type="spellEnd"/>
      <w:r w:rsidR="00794594">
        <w:rPr>
          <w:rFonts w:ascii="Book Antiqua" w:hAnsi="Book Antiqua"/>
          <w:sz w:val="24"/>
          <w:szCs w:val="24"/>
        </w:rPr>
        <w:t xml:space="preserve"> has grown at 860 residents per annum since 1991 but since 2007 this trend has increased sharply to 1,500 new residents per annum.</w:t>
      </w:r>
    </w:p>
    <w:p w:rsidR="00882466" w:rsidRPr="00794594" w:rsidRDefault="00794594" w:rsidP="00794594">
      <w:pPr>
        <w:pStyle w:val="Quote"/>
        <w:jc w:val="left"/>
      </w:pPr>
      <w:r>
        <w:t>“</w:t>
      </w:r>
      <w:r w:rsidR="00882466" w:rsidRPr="00794594">
        <w:t>T</w:t>
      </w:r>
      <w:r w:rsidR="00882466" w:rsidRPr="00882466">
        <w:t>he recent boost in dwelling supply seems to relate to the increasing size and scale of development rather than growth in the overall number of active constructio</w:t>
      </w:r>
      <w:r>
        <w:t>n projects in the municipality.</w:t>
      </w:r>
    </w:p>
    <w:p w:rsidR="00882466" w:rsidRPr="00882466" w:rsidRDefault="00794594" w:rsidP="00794594">
      <w:pPr>
        <w:pStyle w:val="Quote"/>
        <w:jc w:val="left"/>
      </w:pPr>
      <w:r>
        <w:t>“</w:t>
      </w:r>
      <w:r w:rsidR="00882466" w:rsidRPr="00882466">
        <w:t xml:space="preserve">Table 5 shows the ongoing increase in the number of high yielding development projects within </w:t>
      </w:r>
      <w:r>
        <w:t>t</w:t>
      </w:r>
      <w:r w:rsidR="00882466" w:rsidRPr="00882466">
        <w:t>he municipality. These projects most often convert redundant commercial and industrial sites into apartment blocks which in turn are steadily transforming a number of Yarra’s major streets into higher density residential areas (</w:t>
      </w:r>
      <w:r w:rsidRPr="00794594">
        <w:t>Victoria Street for instance).</w:t>
      </w:r>
    </w:p>
    <w:p w:rsidR="00794594" w:rsidRDefault="00794594" w:rsidP="00882466">
      <w:pPr>
        <w:rPr>
          <w:rFonts w:ascii="Book Antiqua" w:hAnsi="Book Antiqua"/>
          <w:sz w:val="24"/>
          <w:szCs w:val="24"/>
        </w:rPr>
      </w:pPr>
      <w:r>
        <w:rPr>
          <w:rFonts w:ascii="Book Antiqua" w:hAnsi="Book Antiqua"/>
          <w:sz w:val="24"/>
          <w:szCs w:val="24"/>
        </w:rPr>
        <w:t>While there have been “</w:t>
      </w:r>
      <w:r w:rsidRPr="00794594">
        <w:rPr>
          <w:rFonts w:ascii="Book Antiqua" w:hAnsi="Book Antiqua"/>
          <w:i/>
          <w:sz w:val="24"/>
          <w:szCs w:val="24"/>
        </w:rPr>
        <w:t>vastly more apartments approved for construction than approvals of any other type of dwelling (see Figure 8)</w:t>
      </w:r>
      <w:r>
        <w:rPr>
          <w:rFonts w:ascii="Book Antiqua" w:hAnsi="Book Antiqua"/>
          <w:sz w:val="24"/>
          <w:szCs w:val="24"/>
        </w:rPr>
        <w:t>”. This is not necessarily a bad outcome g</w:t>
      </w:r>
      <w:r w:rsidR="00527B1E">
        <w:rPr>
          <w:rFonts w:ascii="Book Antiqua" w:hAnsi="Book Antiqua"/>
          <w:sz w:val="24"/>
          <w:szCs w:val="24"/>
        </w:rPr>
        <w:t xml:space="preserve">iven the demographics of </w:t>
      </w:r>
      <w:proofErr w:type="spellStart"/>
      <w:r w:rsidR="00527B1E">
        <w:rPr>
          <w:rFonts w:ascii="Book Antiqua" w:hAnsi="Book Antiqua"/>
          <w:sz w:val="24"/>
          <w:szCs w:val="24"/>
        </w:rPr>
        <w:t>Yarra</w:t>
      </w:r>
      <w:proofErr w:type="spellEnd"/>
      <w:r w:rsidR="00527B1E">
        <w:rPr>
          <w:rFonts w:ascii="Book Antiqua" w:hAnsi="Book Antiqua"/>
          <w:sz w:val="24"/>
          <w:szCs w:val="24"/>
        </w:rPr>
        <w:t>. I</w:t>
      </w:r>
      <w:r>
        <w:rPr>
          <w:rFonts w:ascii="Book Antiqua" w:hAnsi="Book Antiqua"/>
          <w:sz w:val="24"/>
          <w:szCs w:val="24"/>
        </w:rPr>
        <w:t>n fact it may be an appropriate market response.</w:t>
      </w:r>
    </w:p>
    <w:p w:rsidR="00794594" w:rsidRDefault="00794594" w:rsidP="00794594">
      <w:pPr>
        <w:pStyle w:val="Quote"/>
        <w:jc w:val="left"/>
      </w:pPr>
      <w:r w:rsidRPr="00794594">
        <w:t xml:space="preserve">“Yarra’s recent population growth has been driven by the attractiveness of the municipality to couples without children, lone person and group households, who now make up the vast majority of </w:t>
      </w:r>
      <w:proofErr w:type="spellStart"/>
      <w:r w:rsidRPr="00794594">
        <w:t>Yarra’s</w:t>
      </w:r>
      <w:proofErr w:type="spellEnd"/>
      <w:r w:rsidRPr="00794594">
        <w:t xml:space="preserve"> households” [pg6]</w:t>
      </w:r>
    </w:p>
    <w:p w:rsidR="009D7131" w:rsidRPr="009D7131" w:rsidRDefault="009D7131" w:rsidP="009D7131">
      <w:pPr>
        <w:rPr>
          <w:rFonts w:ascii="Book Antiqua" w:hAnsi="Book Antiqua"/>
          <w:sz w:val="24"/>
          <w:szCs w:val="24"/>
        </w:rPr>
      </w:pPr>
      <w:r w:rsidRPr="009D7131">
        <w:rPr>
          <w:rFonts w:ascii="Book Antiqua" w:hAnsi="Book Antiqua"/>
          <w:sz w:val="24"/>
          <w:szCs w:val="24"/>
        </w:rPr>
        <w:lastRenderedPageBreak/>
        <w:t xml:space="preserve">The </w:t>
      </w:r>
      <w:r w:rsidR="00527B1E">
        <w:rPr>
          <w:rFonts w:ascii="Book Antiqua" w:hAnsi="Book Antiqua"/>
          <w:sz w:val="24"/>
          <w:szCs w:val="24"/>
        </w:rPr>
        <w:t xml:space="preserve">DTPLI </w:t>
      </w:r>
      <w:r w:rsidRPr="009D7131">
        <w:rPr>
          <w:rFonts w:ascii="Book Antiqua" w:hAnsi="Book Antiqua"/>
          <w:sz w:val="24"/>
          <w:szCs w:val="24"/>
        </w:rPr>
        <w:t xml:space="preserve">report </w:t>
      </w:r>
      <w:r>
        <w:rPr>
          <w:rFonts w:ascii="Book Antiqua" w:hAnsi="Book Antiqua"/>
          <w:sz w:val="24"/>
          <w:szCs w:val="24"/>
        </w:rPr>
        <w:t xml:space="preserve">agrees with this </w:t>
      </w:r>
      <w:r w:rsidRPr="009D7131">
        <w:rPr>
          <w:rFonts w:ascii="Book Antiqua" w:hAnsi="Book Antiqua"/>
          <w:sz w:val="24"/>
          <w:szCs w:val="24"/>
        </w:rPr>
        <w:t xml:space="preserve">[pg16] </w:t>
      </w:r>
    </w:p>
    <w:p w:rsidR="009D7131" w:rsidRPr="009D7131" w:rsidRDefault="009D7131" w:rsidP="009D7131">
      <w:pPr>
        <w:pStyle w:val="Quote"/>
        <w:jc w:val="left"/>
      </w:pPr>
      <w:r w:rsidRPr="009D7131">
        <w:t xml:space="preserve">In </w:t>
      </w:r>
      <w:proofErr w:type="spellStart"/>
      <w:r w:rsidRPr="009D7131">
        <w:t>Yarra</w:t>
      </w:r>
      <w:proofErr w:type="spellEnd"/>
      <w:r w:rsidRPr="009D7131">
        <w:t>, as with all of the central city, small scale unit development in residential areas is comparatively far less prevalent </w:t>
      </w:r>
      <w:r w:rsidRPr="009D7131">
        <w:rPr>
          <w:b/>
        </w:rPr>
        <w:t>and less critical</w:t>
      </w:r>
      <w:r w:rsidRPr="009D7131">
        <w:t xml:space="preserve"> to new dwelling supply (providing around 10% of new dwellings per annum).</w:t>
      </w:r>
    </w:p>
    <w:p w:rsidR="009D7131" w:rsidRPr="009D7131" w:rsidRDefault="009D7131" w:rsidP="009D7131">
      <w:pPr>
        <w:rPr>
          <w:rFonts w:ascii="Book Antiqua" w:hAnsi="Book Antiqua"/>
          <w:sz w:val="24"/>
          <w:szCs w:val="24"/>
        </w:rPr>
      </w:pPr>
      <w:r w:rsidRPr="004E5D9B">
        <w:rPr>
          <w:rFonts w:ascii="Book Antiqua" w:hAnsi="Book Antiqua"/>
          <w:sz w:val="24"/>
          <w:szCs w:val="24"/>
        </w:rPr>
        <w:t xml:space="preserve">Given the acknowledgement of ‘less critical’, we </w:t>
      </w:r>
      <w:r w:rsidRPr="000264B6">
        <w:rPr>
          <w:rFonts w:ascii="Book Antiqua" w:hAnsi="Book Antiqua"/>
          <w:b/>
          <w:sz w:val="24"/>
          <w:szCs w:val="24"/>
          <w:u w:val="single"/>
        </w:rPr>
        <w:t>disagree</w:t>
      </w:r>
      <w:r w:rsidRPr="004E5D9B">
        <w:rPr>
          <w:rFonts w:ascii="Book Antiqua" w:hAnsi="Book Antiqua"/>
          <w:sz w:val="24"/>
          <w:szCs w:val="24"/>
        </w:rPr>
        <w:t xml:space="preserve"> with the </w:t>
      </w:r>
      <w:r w:rsidR="004E5D9B">
        <w:rPr>
          <w:rFonts w:ascii="Book Antiqua" w:hAnsi="Book Antiqua"/>
          <w:sz w:val="24"/>
          <w:szCs w:val="24"/>
        </w:rPr>
        <w:t>report</w:t>
      </w:r>
      <w:r w:rsidRPr="004E5D9B">
        <w:rPr>
          <w:rFonts w:ascii="Book Antiqua" w:hAnsi="Book Antiqua"/>
          <w:sz w:val="24"/>
          <w:szCs w:val="24"/>
        </w:rPr>
        <w:t>’</w:t>
      </w:r>
      <w:r w:rsidR="004E5D9B">
        <w:rPr>
          <w:rFonts w:ascii="Book Antiqua" w:hAnsi="Book Antiqua"/>
          <w:sz w:val="24"/>
          <w:szCs w:val="24"/>
        </w:rPr>
        <w:t>s</w:t>
      </w:r>
      <w:r w:rsidRPr="004E5D9B">
        <w:rPr>
          <w:rFonts w:ascii="Book Antiqua" w:hAnsi="Book Antiqua"/>
          <w:sz w:val="24"/>
          <w:szCs w:val="24"/>
        </w:rPr>
        <w:t xml:space="preserve"> conclusion that </w:t>
      </w:r>
      <w:r w:rsidRPr="009D7131">
        <w:rPr>
          <w:rFonts w:ascii="Book Antiqua" w:hAnsi="Book Antiqua"/>
          <w:sz w:val="24"/>
          <w:szCs w:val="24"/>
        </w:rPr>
        <w:t>the proposed application of the RGZ: </w:t>
      </w:r>
    </w:p>
    <w:p w:rsidR="009D7131" w:rsidRPr="009D7131" w:rsidRDefault="009D7131" w:rsidP="009D7131">
      <w:pPr>
        <w:pStyle w:val="Quote"/>
        <w:jc w:val="left"/>
      </w:pPr>
      <w:proofErr w:type="gramStart"/>
      <w:r w:rsidRPr="009D7131">
        <w:t>will</w:t>
      </w:r>
      <w:proofErr w:type="gramEnd"/>
      <w:r w:rsidRPr="009D7131">
        <w:t xml:space="preserve"> create realistic opportunity for further housing diversity in Yarra’s residential areas – DTPLI analysis shows that there are approximately 60 sites of sufficient size to achieve RGZ</w:t>
      </w:r>
      <w:r>
        <w:t xml:space="preserve"> </w:t>
      </w:r>
      <w:r w:rsidRPr="009D7131">
        <w:t>objectives </w:t>
      </w:r>
    </w:p>
    <w:p w:rsidR="009D7131" w:rsidRPr="009D7131" w:rsidRDefault="009D7131" w:rsidP="009D7131">
      <w:pPr>
        <w:pStyle w:val="Quote"/>
        <w:jc w:val="left"/>
      </w:pPr>
      <w:proofErr w:type="gramStart"/>
      <w:r w:rsidRPr="009D7131">
        <w:t>has</w:t>
      </w:r>
      <w:proofErr w:type="gramEnd"/>
      <w:r w:rsidRPr="009D7131">
        <w:t xml:space="preserve"> the potential to provide a different lower scale apartment development different in scale</w:t>
      </w:r>
      <w:r>
        <w:t xml:space="preserve"> </w:t>
      </w:r>
      <w:r w:rsidRPr="009D7131">
        <w:t>and density to the types of projects currently occurring in Richmond and Collingwood. </w:t>
      </w:r>
    </w:p>
    <w:p w:rsidR="004E5D9B" w:rsidRPr="000264B6" w:rsidRDefault="004E5D9B" w:rsidP="009D7131">
      <w:pPr>
        <w:pStyle w:val="Quote"/>
        <w:ind w:left="0"/>
        <w:jc w:val="left"/>
        <w:rPr>
          <w:rFonts w:ascii="Book Antiqua" w:hAnsi="Book Antiqua"/>
          <w:b/>
          <w:i w:val="0"/>
          <w:iCs w:val="0"/>
          <w:color w:val="auto"/>
          <w:sz w:val="24"/>
          <w:szCs w:val="24"/>
        </w:rPr>
      </w:pPr>
      <w:r w:rsidRPr="000264B6">
        <w:rPr>
          <w:rFonts w:ascii="Book Antiqua" w:hAnsi="Book Antiqua"/>
          <w:b/>
          <w:i w:val="0"/>
          <w:iCs w:val="0"/>
          <w:color w:val="auto"/>
          <w:sz w:val="24"/>
          <w:szCs w:val="24"/>
        </w:rPr>
        <w:t>The growth zones will solve a problem that does not exist!</w:t>
      </w:r>
    </w:p>
    <w:p w:rsidR="004E5D9B" w:rsidRDefault="009D7131" w:rsidP="009D7131">
      <w:pPr>
        <w:pStyle w:val="Quote"/>
        <w:ind w:left="0"/>
        <w:jc w:val="left"/>
        <w:rPr>
          <w:rFonts w:ascii="Book Antiqua" w:hAnsi="Book Antiqua"/>
          <w:i w:val="0"/>
          <w:iCs w:val="0"/>
          <w:color w:val="auto"/>
          <w:sz w:val="24"/>
          <w:szCs w:val="24"/>
        </w:rPr>
      </w:pPr>
      <w:r w:rsidRPr="009D7131">
        <w:rPr>
          <w:rFonts w:ascii="Book Antiqua" w:hAnsi="Book Antiqua"/>
          <w:i w:val="0"/>
          <w:iCs w:val="0"/>
          <w:color w:val="auto"/>
          <w:sz w:val="24"/>
          <w:szCs w:val="24"/>
        </w:rPr>
        <w:t xml:space="preserve">The </w:t>
      </w:r>
      <w:r>
        <w:rPr>
          <w:rFonts w:ascii="Book Antiqua" w:hAnsi="Book Antiqua"/>
          <w:i w:val="0"/>
          <w:iCs w:val="0"/>
          <w:color w:val="auto"/>
          <w:sz w:val="24"/>
          <w:szCs w:val="24"/>
        </w:rPr>
        <w:t xml:space="preserve">residential </w:t>
      </w:r>
      <w:r w:rsidRPr="009D7131">
        <w:rPr>
          <w:rFonts w:ascii="Book Antiqua" w:hAnsi="Book Antiqua"/>
          <w:i w:val="0"/>
          <w:iCs w:val="0"/>
          <w:color w:val="auto"/>
          <w:sz w:val="24"/>
          <w:szCs w:val="24"/>
        </w:rPr>
        <w:t xml:space="preserve">heritage precincts of </w:t>
      </w:r>
      <w:proofErr w:type="spellStart"/>
      <w:r w:rsidRPr="009D7131">
        <w:rPr>
          <w:rFonts w:ascii="Book Antiqua" w:hAnsi="Book Antiqua"/>
          <w:i w:val="0"/>
          <w:iCs w:val="0"/>
          <w:color w:val="auto"/>
          <w:sz w:val="24"/>
          <w:szCs w:val="24"/>
        </w:rPr>
        <w:t>Yarra</w:t>
      </w:r>
      <w:proofErr w:type="spellEnd"/>
      <w:r w:rsidRPr="009D7131">
        <w:rPr>
          <w:rFonts w:ascii="Book Antiqua" w:hAnsi="Book Antiqua"/>
          <w:i w:val="0"/>
          <w:iCs w:val="0"/>
          <w:color w:val="auto"/>
          <w:sz w:val="24"/>
          <w:szCs w:val="24"/>
        </w:rPr>
        <w:t xml:space="preserve"> are </w:t>
      </w:r>
      <w:r w:rsidR="00A71463">
        <w:rPr>
          <w:rFonts w:ascii="Book Antiqua" w:hAnsi="Book Antiqua"/>
          <w:i w:val="0"/>
          <w:iCs w:val="0"/>
          <w:color w:val="auto"/>
          <w:sz w:val="24"/>
          <w:szCs w:val="24"/>
        </w:rPr>
        <w:t>priceless. Y</w:t>
      </w:r>
      <w:r>
        <w:rPr>
          <w:rFonts w:ascii="Book Antiqua" w:hAnsi="Book Antiqua"/>
          <w:i w:val="0"/>
          <w:iCs w:val="0"/>
          <w:color w:val="auto"/>
          <w:sz w:val="24"/>
          <w:szCs w:val="24"/>
        </w:rPr>
        <w:t xml:space="preserve">et they have </w:t>
      </w:r>
      <w:r w:rsidR="00A71463">
        <w:rPr>
          <w:rFonts w:ascii="Book Antiqua" w:hAnsi="Book Antiqua"/>
          <w:i w:val="0"/>
          <w:iCs w:val="0"/>
          <w:color w:val="auto"/>
          <w:sz w:val="24"/>
          <w:szCs w:val="24"/>
        </w:rPr>
        <w:t>only been protected since 1997.</w:t>
      </w:r>
    </w:p>
    <w:p w:rsidR="009D7131" w:rsidRDefault="004E5D9B" w:rsidP="009D7131">
      <w:pPr>
        <w:pStyle w:val="Quote"/>
        <w:ind w:left="0"/>
        <w:jc w:val="left"/>
        <w:rPr>
          <w:rFonts w:ascii="Book Antiqua" w:hAnsi="Book Antiqua"/>
          <w:i w:val="0"/>
          <w:iCs w:val="0"/>
          <w:color w:val="auto"/>
          <w:sz w:val="24"/>
          <w:szCs w:val="24"/>
        </w:rPr>
      </w:pPr>
      <w:r>
        <w:rPr>
          <w:rFonts w:ascii="Book Antiqua" w:hAnsi="Book Antiqua"/>
          <w:i w:val="0"/>
          <w:iCs w:val="0"/>
          <w:color w:val="auto"/>
          <w:sz w:val="24"/>
          <w:szCs w:val="24"/>
        </w:rPr>
        <w:t xml:space="preserve">We ask the </w:t>
      </w:r>
      <w:r w:rsidR="009D7131">
        <w:rPr>
          <w:rFonts w:ascii="Book Antiqua" w:hAnsi="Book Antiqua"/>
          <w:i w:val="0"/>
          <w:iCs w:val="0"/>
          <w:color w:val="auto"/>
          <w:sz w:val="24"/>
          <w:szCs w:val="24"/>
        </w:rPr>
        <w:t xml:space="preserve">panel </w:t>
      </w:r>
      <w:r>
        <w:rPr>
          <w:rFonts w:ascii="Book Antiqua" w:hAnsi="Book Antiqua"/>
          <w:i w:val="0"/>
          <w:iCs w:val="0"/>
          <w:color w:val="auto"/>
          <w:sz w:val="24"/>
          <w:szCs w:val="24"/>
        </w:rPr>
        <w:t xml:space="preserve">to </w:t>
      </w:r>
      <w:r w:rsidR="009D7131">
        <w:rPr>
          <w:rFonts w:ascii="Book Antiqua" w:hAnsi="Book Antiqua"/>
          <w:i w:val="0"/>
          <w:iCs w:val="0"/>
          <w:color w:val="auto"/>
          <w:sz w:val="24"/>
          <w:szCs w:val="24"/>
        </w:rPr>
        <w:t xml:space="preserve">exercise considerable caution before rezoning heritage to growth zones, as this will introduce even more intense conflict between the heritage overlay and the growth zones. </w:t>
      </w:r>
    </w:p>
    <w:p w:rsidR="000510B6" w:rsidRDefault="009D7131" w:rsidP="009D7131">
      <w:pPr>
        <w:pStyle w:val="Quote"/>
        <w:ind w:left="0"/>
        <w:jc w:val="left"/>
        <w:rPr>
          <w:rFonts w:ascii="Book Antiqua" w:hAnsi="Book Antiqua"/>
          <w:i w:val="0"/>
          <w:iCs w:val="0"/>
          <w:color w:val="auto"/>
          <w:sz w:val="24"/>
          <w:szCs w:val="24"/>
        </w:rPr>
      </w:pPr>
      <w:r>
        <w:rPr>
          <w:rFonts w:ascii="Book Antiqua" w:hAnsi="Book Antiqua"/>
          <w:i w:val="0"/>
          <w:iCs w:val="0"/>
          <w:color w:val="auto"/>
          <w:sz w:val="24"/>
          <w:szCs w:val="24"/>
        </w:rPr>
        <w:t>The proposed growth zone along Queens Parade is a case in point</w:t>
      </w:r>
      <w:r w:rsidR="004E5D9B">
        <w:rPr>
          <w:rFonts w:ascii="Book Antiqua" w:hAnsi="Book Antiqua"/>
          <w:i w:val="0"/>
          <w:iCs w:val="0"/>
          <w:color w:val="auto"/>
          <w:sz w:val="24"/>
          <w:szCs w:val="24"/>
        </w:rPr>
        <w:t xml:space="preserve">. Much of Queens Parade has already seen conversion of industrial sites to large scale development on the north side. These are not controversial. </w:t>
      </w:r>
    </w:p>
    <w:p w:rsidR="000510B6" w:rsidRDefault="004E5D9B" w:rsidP="009D7131">
      <w:pPr>
        <w:pStyle w:val="Quote"/>
        <w:ind w:left="0"/>
        <w:jc w:val="left"/>
        <w:rPr>
          <w:rFonts w:ascii="Book Antiqua" w:hAnsi="Book Antiqua"/>
          <w:i w:val="0"/>
          <w:iCs w:val="0"/>
          <w:color w:val="auto"/>
          <w:sz w:val="24"/>
          <w:szCs w:val="24"/>
        </w:rPr>
      </w:pPr>
      <w:r>
        <w:rPr>
          <w:rFonts w:ascii="Book Antiqua" w:hAnsi="Book Antiqua"/>
          <w:i w:val="0"/>
          <w:iCs w:val="0"/>
          <w:color w:val="auto"/>
          <w:sz w:val="24"/>
          <w:szCs w:val="24"/>
        </w:rPr>
        <w:t>However the new zones a</w:t>
      </w:r>
      <w:r w:rsidR="000510B6">
        <w:rPr>
          <w:rFonts w:ascii="Book Antiqua" w:hAnsi="Book Antiqua"/>
          <w:i w:val="0"/>
          <w:iCs w:val="0"/>
          <w:color w:val="auto"/>
          <w:sz w:val="24"/>
          <w:szCs w:val="24"/>
        </w:rPr>
        <w:t xml:space="preserve">re covering heritage overlays. </w:t>
      </w:r>
      <w:r>
        <w:rPr>
          <w:rFonts w:ascii="Book Antiqua" w:hAnsi="Book Antiqua"/>
          <w:i w:val="0"/>
          <w:iCs w:val="0"/>
          <w:color w:val="auto"/>
          <w:sz w:val="24"/>
          <w:szCs w:val="24"/>
        </w:rPr>
        <w:t>The houses along the north side of Queens Parade are important to the precinct</w:t>
      </w:r>
      <w:r w:rsidR="000510B6">
        <w:rPr>
          <w:rFonts w:ascii="Book Antiqua" w:hAnsi="Book Antiqua"/>
          <w:i w:val="0"/>
          <w:iCs w:val="0"/>
          <w:color w:val="auto"/>
          <w:sz w:val="24"/>
          <w:szCs w:val="24"/>
        </w:rPr>
        <w:t>, including some on the Victorian Heritage R</w:t>
      </w:r>
      <w:r w:rsidR="000A0475">
        <w:rPr>
          <w:rFonts w:ascii="Book Antiqua" w:hAnsi="Book Antiqua"/>
          <w:i w:val="0"/>
          <w:iCs w:val="0"/>
          <w:color w:val="auto"/>
          <w:sz w:val="24"/>
          <w:szCs w:val="24"/>
        </w:rPr>
        <w:t>egist</w:t>
      </w:r>
      <w:r w:rsidR="000510B6">
        <w:rPr>
          <w:rFonts w:ascii="Book Antiqua" w:hAnsi="Book Antiqua"/>
          <w:i w:val="0"/>
          <w:iCs w:val="0"/>
          <w:color w:val="auto"/>
          <w:sz w:val="24"/>
          <w:szCs w:val="24"/>
        </w:rPr>
        <w:t>er.</w:t>
      </w:r>
    </w:p>
    <w:p w:rsidR="000510B6" w:rsidRPr="000A0475" w:rsidRDefault="000510B6" w:rsidP="000A0475">
      <w:pPr>
        <w:pStyle w:val="Quote"/>
        <w:ind w:left="0"/>
        <w:jc w:val="left"/>
      </w:pPr>
      <w:r w:rsidRPr="000A0475">
        <w:t>Queens Parade 118 Fitzroy North 247725 individually significant 1860-1890</w:t>
      </w:r>
    </w:p>
    <w:p w:rsidR="000510B6" w:rsidRPr="000A0475" w:rsidRDefault="000510B6" w:rsidP="000A0475">
      <w:pPr>
        <w:pStyle w:val="Quote"/>
        <w:ind w:left="0"/>
        <w:jc w:val="left"/>
      </w:pPr>
      <w:r w:rsidRPr="000A0475">
        <w:t xml:space="preserve">Queens Parade 122 Fitzroy North </w:t>
      </w:r>
      <w:proofErr w:type="spellStart"/>
      <w:r w:rsidRPr="000A0475">
        <w:t>Selotta</w:t>
      </w:r>
      <w:proofErr w:type="spellEnd"/>
      <w:r w:rsidRPr="000A0475">
        <w:t xml:space="preserve"> Shoes Pty Ltd 280600 individually significant 1934</w:t>
      </w:r>
      <w:r w:rsidR="000A0475">
        <w:t xml:space="preserve"> </w:t>
      </w:r>
      <w:r w:rsidRPr="000A0475">
        <w:t>Factory, former</w:t>
      </w:r>
    </w:p>
    <w:p w:rsidR="004E5D9B" w:rsidRPr="000A0475" w:rsidRDefault="000510B6" w:rsidP="000A0475">
      <w:pPr>
        <w:pStyle w:val="Quote"/>
        <w:ind w:left="0"/>
        <w:jc w:val="left"/>
      </w:pPr>
      <w:r w:rsidRPr="000A0475">
        <w:t>Queens Parade 162 -170 Fitzroy North Recreation Hotel, 247765 contributory 1870-1935 later Old Homestead Inn</w:t>
      </w:r>
    </w:p>
    <w:p w:rsidR="000A0475" w:rsidRPr="000510B6" w:rsidRDefault="000A0475" w:rsidP="000A0475">
      <w:pPr>
        <w:jc w:val="right"/>
        <w:rPr>
          <w:lang w:val="en-AU"/>
        </w:rPr>
      </w:pPr>
      <w:r>
        <w:rPr>
          <w:lang w:val="en-AU"/>
        </w:rPr>
        <w:t>[Schedule to HO 327 North Fitzroy]</w:t>
      </w:r>
    </w:p>
    <w:p w:rsidR="00407F84" w:rsidRDefault="00407F84" w:rsidP="000A0475">
      <w:pPr>
        <w:pStyle w:val="Quote"/>
        <w:ind w:left="0"/>
        <w:jc w:val="left"/>
        <w:rPr>
          <w:rFonts w:ascii="Book Antiqua" w:hAnsi="Book Antiqua"/>
          <w:i w:val="0"/>
          <w:iCs w:val="0"/>
          <w:color w:val="auto"/>
          <w:sz w:val="24"/>
          <w:szCs w:val="24"/>
        </w:rPr>
      </w:pPr>
    </w:p>
    <w:p w:rsidR="00407F84" w:rsidRDefault="00407F84" w:rsidP="000A0475">
      <w:pPr>
        <w:pStyle w:val="Quote"/>
        <w:ind w:left="0"/>
        <w:jc w:val="left"/>
        <w:rPr>
          <w:rFonts w:ascii="Book Antiqua" w:hAnsi="Book Antiqua"/>
          <w:i w:val="0"/>
          <w:iCs w:val="0"/>
          <w:color w:val="auto"/>
          <w:sz w:val="24"/>
          <w:szCs w:val="24"/>
        </w:rPr>
      </w:pPr>
    </w:p>
    <w:p w:rsidR="000A0475" w:rsidRDefault="000A0475" w:rsidP="000A0475">
      <w:pPr>
        <w:pStyle w:val="Quote"/>
        <w:ind w:left="0"/>
        <w:jc w:val="left"/>
        <w:rPr>
          <w:rFonts w:ascii="Book Antiqua" w:hAnsi="Book Antiqua"/>
          <w:i w:val="0"/>
          <w:iCs w:val="0"/>
          <w:color w:val="auto"/>
          <w:sz w:val="24"/>
          <w:szCs w:val="24"/>
        </w:rPr>
      </w:pPr>
      <w:r>
        <w:rPr>
          <w:rFonts w:ascii="Book Antiqua" w:hAnsi="Book Antiqua"/>
          <w:i w:val="0"/>
          <w:iCs w:val="0"/>
          <w:color w:val="auto"/>
          <w:sz w:val="24"/>
          <w:szCs w:val="24"/>
        </w:rPr>
        <w:lastRenderedPageBreak/>
        <w:t xml:space="preserve">The growth area to the south of Queens Parade includes: </w:t>
      </w:r>
    </w:p>
    <w:p w:rsidR="000A0475" w:rsidRPr="000A0475" w:rsidRDefault="000A0475" w:rsidP="000A0475">
      <w:pPr>
        <w:pStyle w:val="Quote"/>
        <w:ind w:left="0"/>
        <w:jc w:val="left"/>
      </w:pPr>
      <w:r w:rsidRPr="000A0475">
        <w:t xml:space="preserve">Queens Parade 65 Clifton Hill St John </w:t>
      </w:r>
      <w:proofErr w:type="gramStart"/>
      <w:r w:rsidRPr="000A0475">
        <w:t>The</w:t>
      </w:r>
      <w:proofErr w:type="gramEnd"/>
      <w:r w:rsidRPr="000A0475">
        <w:t xml:space="preserve"> Baptist 131950 individually significant 1876-1907 Catholic Church</w:t>
      </w:r>
    </w:p>
    <w:p w:rsidR="000A0475" w:rsidRPr="000A0475" w:rsidRDefault="000A0475" w:rsidP="000A0475">
      <w:pPr>
        <w:pStyle w:val="Quote"/>
        <w:ind w:left="0"/>
        <w:jc w:val="left"/>
      </w:pPr>
      <w:r w:rsidRPr="000A0475">
        <w:t>Queens Parade 65 Clifton Hill St John's Catholic 131950 individually significant 1903</w:t>
      </w:r>
    </w:p>
    <w:p w:rsidR="000A0475" w:rsidRPr="000A0475" w:rsidRDefault="000A0475" w:rsidP="000A0475">
      <w:pPr>
        <w:pStyle w:val="Quote"/>
        <w:ind w:left="0"/>
        <w:jc w:val="left"/>
      </w:pPr>
      <w:r>
        <w:t xml:space="preserve">Primary School, part St John </w:t>
      </w:r>
      <w:proofErr w:type="gramStart"/>
      <w:r>
        <w:t>The</w:t>
      </w:r>
      <w:proofErr w:type="gramEnd"/>
      <w:r>
        <w:t xml:space="preserve"> Baptist Catholic Church </w:t>
      </w:r>
      <w:r w:rsidRPr="000A0475">
        <w:t>complex</w:t>
      </w:r>
    </w:p>
    <w:p w:rsidR="000A0475" w:rsidRPr="000A0475" w:rsidRDefault="000A0475" w:rsidP="000A0475">
      <w:pPr>
        <w:pStyle w:val="Quote"/>
        <w:ind w:left="0"/>
        <w:jc w:val="left"/>
      </w:pPr>
      <w:r w:rsidRPr="000A0475">
        <w:t>Queens Parade 83 -87 Clifton Hill Clifton Hall &amp; Clifton 131965 individually significant 1918</w:t>
      </w:r>
    </w:p>
    <w:p w:rsidR="000A0475" w:rsidRDefault="000A0475" w:rsidP="000A0475">
      <w:pPr>
        <w:pStyle w:val="Quote"/>
        <w:ind w:left="0"/>
        <w:jc w:val="left"/>
      </w:pPr>
      <w:r w:rsidRPr="000A0475">
        <w:t>Picture Theatre, later</w:t>
      </w:r>
      <w:r>
        <w:t xml:space="preserve"> Cinema Italia </w:t>
      </w:r>
    </w:p>
    <w:p w:rsidR="00407F84" w:rsidRPr="00407F84" w:rsidRDefault="00407F84" w:rsidP="00407F84">
      <w:pPr>
        <w:jc w:val="right"/>
        <w:rPr>
          <w:lang w:val="en-AU"/>
        </w:rPr>
      </w:pPr>
      <w:r>
        <w:rPr>
          <w:lang w:val="en-AU"/>
        </w:rPr>
        <w:t>[Schedule to HO 31</w:t>
      </w:r>
      <w:r>
        <w:rPr>
          <w:lang w:val="en-AU"/>
        </w:rPr>
        <w:t xml:space="preserve">7 </w:t>
      </w:r>
      <w:r>
        <w:rPr>
          <w:lang w:val="en-AU"/>
        </w:rPr>
        <w:t>Clifton Hill West</w:t>
      </w:r>
      <w:r>
        <w:rPr>
          <w:lang w:val="en-AU"/>
        </w:rPr>
        <w:t>]</w:t>
      </w:r>
    </w:p>
    <w:p w:rsidR="000A0475" w:rsidRPr="000A0475" w:rsidRDefault="00A71463" w:rsidP="000A0475">
      <w:pPr>
        <w:pStyle w:val="Quote"/>
        <w:ind w:left="0"/>
        <w:jc w:val="left"/>
        <w:rPr>
          <w:rFonts w:ascii="Book Antiqua" w:hAnsi="Book Antiqua"/>
          <w:i w:val="0"/>
          <w:iCs w:val="0"/>
          <w:color w:val="auto"/>
          <w:sz w:val="24"/>
          <w:szCs w:val="24"/>
        </w:rPr>
      </w:pPr>
      <w:r>
        <w:rPr>
          <w:rFonts w:ascii="Book Antiqua" w:hAnsi="Book Antiqua"/>
          <w:i w:val="0"/>
          <w:iCs w:val="0"/>
          <w:color w:val="auto"/>
          <w:sz w:val="24"/>
          <w:szCs w:val="24"/>
        </w:rPr>
        <w:t xml:space="preserve">If the growth zone were to be applied, the actual yield will still be constrained by the existing heritage overlays and </w:t>
      </w:r>
      <w:proofErr w:type="spellStart"/>
      <w:r>
        <w:rPr>
          <w:rFonts w:ascii="Book Antiqua" w:hAnsi="Book Antiqua"/>
          <w:i w:val="0"/>
          <w:iCs w:val="0"/>
          <w:color w:val="auto"/>
          <w:sz w:val="24"/>
          <w:szCs w:val="24"/>
        </w:rPr>
        <w:t>neighbouring</w:t>
      </w:r>
      <w:proofErr w:type="spellEnd"/>
      <w:r>
        <w:rPr>
          <w:rFonts w:ascii="Book Antiqua" w:hAnsi="Book Antiqua"/>
          <w:i w:val="0"/>
          <w:iCs w:val="0"/>
          <w:color w:val="auto"/>
          <w:sz w:val="24"/>
          <w:szCs w:val="24"/>
        </w:rPr>
        <w:t xml:space="preserve"> amenity. Inner suburbs are already developed to a much higher density than what is planned for a </w:t>
      </w:r>
      <w:proofErr w:type="spellStart"/>
      <w:r>
        <w:rPr>
          <w:rFonts w:ascii="Book Antiqua" w:hAnsi="Book Antiqua"/>
          <w:i w:val="0"/>
          <w:iCs w:val="0"/>
          <w:color w:val="auto"/>
          <w:sz w:val="24"/>
          <w:szCs w:val="24"/>
        </w:rPr>
        <w:t>Neighbourhood</w:t>
      </w:r>
      <w:proofErr w:type="spellEnd"/>
      <w:r>
        <w:rPr>
          <w:rFonts w:ascii="Book Antiqua" w:hAnsi="Book Antiqua"/>
          <w:i w:val="0"/>
          <w:iCs w:val="0"/>
          <w:color w:val="auto"/>
          <w:sz w:val="24"/>
          <w:szCs w:val="24"/>
        </w:rPr>
        <w:t xml:space="preserve"> Residential Zone. The zones will contribute few of the new dwellings required to meet the projected population growth (if population settings are not changed).</w:t>
      </w:r>
      <w:bookmarkStart w:id="1" w:name="_GoBack"/>
      <w:bookmarkEnd w:id="1"/>
    </w:p>
    <w:p w:rsidR="007F7395" w:rsidRDefault="007F7395">
      <w:pPr>
        <w:rPr>
          <w:rFonts w:asciiTheme="majorHAnsi" w:eastAsiaTheme="majorEastAsia" w:hAnsiTheme="majorHAnsi" w:cstheme="majorBidi"/>
          <w:b/>
          <w:bCs/>
          <w:color w:val="365F91" w:themeColor="accent1" w:themeShade="BF"/>
          <w:sz w:val="28"/>
          <w:szCs w:val="28"/>
        </w:rPr>
      </w:pPr>
      <w:r>
        <w:br w:type="page"/>
      </w:r>
    </w:p>
    <w:p w:rsidR="00E277BE" w:rsidRDefault="00E277BE" w:rsidP="00E277BE">
      <w:pPr>
        <w:pStyle w:val="Heading1"/>
      </w:pPr>
      <w:r w:rsidRPr="00E277BE">
        <w:lastRenderedPageBreak/>
        <w:t>Conclusion</w:t>
      </w:r>
    </w:p>
    <w:p w:rsidR="00C904BE" w:rsidRDefault="00E277BE">
      <w:pPr>
        <w:rPr>
          <w:rFonts w:ascii="Book Antiqua" w:hAnsi="Book Antiqua"/>
          <w:sz w:val="24"/>
          <w:szCs w:val="24"/>
        </w:rPr>
      </w:pPr>
      <w:r w:rsidRPr="00E277BE">
        <w:rPr>
          <w:rFonts w:ascii="Book Antiqua" w:hAnsi="Book Antiqua"/>
          <w:sz w:val="24"/>
          <w:szCs w:val="24"/>
        </w:rPr>
        <w:br/>
        <w:t xml:space="preserve">Much land with better strategic attributes for </w:t>
      </w:r>
      <w:r w:rsidR="007F7395">
        <w:rPr>
          <w:rFonts w:ascii="Book Antiqua" w:hAnsi="Book Antiqua"/>
          <w:sz w:val="24"/>
          <w:szCs w:val="24"/>
        </w:rPr>
        <w:t>g</w:t>
      </w:r>
      <w:r w:rsidRPr="00E277BE">
        <w:rPr>
          <w:rFonts w:ascii="Book Antiqua" w:hAnsi="Book Antiqua"/>
          <w:sz w:val="24"/>
          <w:szCs w:val="24"/>
        </w:rPr>
        <w:t>rowth than that proposed in th</w:t>
      </w:r>
      <w:r>
        <w:rPr>
          <w:rFonts w:ascii="Book Antiqua" w:hAnsi="Book Antiqua"/>
          <w:sz w:val="24"/>
          <w:szCs w:val="24"/>
        </w:rPr>
        <w:t>is a</w:t>
      </w:r>
      <w:r w:rsidRPr="00E277BE">
        <w:rPr>
          <w:rFonts w:ascii="Book Antiqua" w:hAnsi="Book Antiqua"/>
          <w:sz w:val="24"/>
          <w:szCs w:val="24"/>
        </w:rPr>
        <w:t xml:space="preserve">mendment is available, without creating </w:t>
      </w:r>
      <w:r w:rsidR="009250A6">
        <w:rPr>
          <w:rFonts w:ascii="Book Antiqua" w:hAnsi="Book Antiqua"/>
          <w:sz w:val="24"/>
          <w:szCs w:val="24"/>
        </w:rPr>
        <w:t xml:space="preserve">a </w:t>
      </w:r>
      <w:r w:rsidRPr="00E277BE">
        <w:rPr>
          <w:rFonts w:ascii="Book Antiqua" w:hAnsi="Book Antiqua"/>
          <w:sz w:val="24"/>
          <w:szCs w:val="24"/>
        </w:rPr>
        <w:t xml:space="preserve">conflict within the Planning Scheme </w:t>
      </w:r>
      <w:r w:rsidR="009250A6">
        <w:rPr>
          <w:rFonts w:ascii="Book Antiqua" w:hAnsi="Book Antiqua"/>
          <w:sz w:val="24"/>
          <w:szCs w:val="24"/>
        </w:rPr>
        <w:t xml:space="preserve">that </w:t>
      </w:r>
      <w:r w:rsidRPr="00E277BE">
        <w:rPr>
          <w:rFonts w:ascii="Book Antiqua" w:hAnsi="Book Antiqua"/>
          <w:sz w:val="24"/>
          <w:szCs w:val="24"/>
        </w:rPr>
        <w:t>cannot be resolved in decisions.</w:t>
      </w:r>
    </w:p>
    <w:p w:rsidR="007F7395" w:rsidRDefault="007F7395" w:rsidP="007F7395">
      <w:pPr>
        <w:rPr>
          <w:rFonts w:ascii="Book Antiqua" w:hAnsi="Book Antiqua"/>
          <w:sz w:val="24"/>
          <w:szCs w:val="24"/>
        </w:rPr>
      </w:pPr>
      <w:r>
        <w:rPr>
          <w:rFonts w:ascii="Book Antiqua" w:hAnsi="Book Antiqua"/>
          <w:sz w:val="24"/>
          <w:szCs w:val="24"/>
        </w:rPr>
        <w:t xml:space="preserve">Examples include the </w:t>
      </w:r>
      <w:r>
        <w:rPr>
          <w:rFonts w:ascii="Book Antiqua" w:hAnsi="Book Antiqua"/>
          <w:sz w:val="24"/>
          <w:szCs w:val="24"/>
        </w:rPr>
        <w:t xml:space="preserve">isolated 6ha site of the former Gas Works bounded by major boulevards, or the 15.5ha Amcor </w:t>
      </w:r>
      <w:r>
        <w:rPr>
          <w:rFonts w:ascii="Book Antiqua" w:hAnsi="Book Antiqua"/>
          <w:sz w:val="24"/>
          <w:szCs w:val="24"/>
        </w:rPr>
        <w:t xml:space="preserve">site, </w:t>
      </w:r>
      <w:proofErr w:type="spellStart"/>
      <w:r>
        <w:rPr>
          <w:rFonts w:ascii="Book Antiqua" w:hAnsi="Book Antiqua"/>
          <w:sz w:val="24"/>
          <w:szCs w:val="24"/>
        </w:rPr>
        <w:t>Alphington</w:t>
      </w:r>
      <w:proofErr w:type="spellEnd"/>
      <w:r>
        <w:rPr>
          <w:rFonts w:ascii="Book Antiqua" w:hAnsi="Book Antiqua"/>
          <w:sz w:val="24"/>
          <w:szCs w:val="24"/>
        </w:rPr>
        <w:t xml:space="preserve"> </w:t>
      </w:r>
      <w:r>
        <w:rPr>
          <w:rFonts w:ascii="Book Antiqua" w:hAnsi="Book Antiqua"/>
          <w:sz w:val="24"/>
          <w:szCs w:val="24"/>
        </w:rPr>
        <w:t>s</w:t>
      </w:r>
      <w:r>
        <w:rPr>
          <w:rFonts w:ascii="Book Antiqua" w:hAnsi="Book Antiqua"/>
          <w:sz w:val="24"/>
          <w:szCs w:val="24"/>
        </w:rPr>
        <w:t>uitable for 3000 dwellings.</w:t>
      </w:r>
    </w:p>
    <w:p w:rsidR="007F7395" w:rsidRDefault="007F7395" w:rsidP="007F7395">
      <w:pPr>
        <w:rPr>
          <w:rFonts w:ascii="Book Antiqua" w:hAnsi="Book Antiqua"/>
          <w:sz w:val="24"/>
          <w:szCs w:val="24"/>
        </w:rPr>
      </w:pPr>
      <w:r>
        <w:rPr>
          <w:rFonts w:ascii="Book Antiqua" w:hAnsi="Book Antiqua"/>
          <w:sz w:val="24"/>
          <w:szCs w:val="24"/>
        </w:rPr>
        <w:t>There is strong evidence that large areas of land close to railway stations and shops is significantly underperforming and would be better suited to supporting growth though appropriate rezoning.</w:t>
      </w:r>
    </w:p>
    <w:p w:rsidR="007F7395" w:rsidRDefault="002C40D6">
      <w:pPr>
        <w:rPr>
          <w:rFonts w:ascii="Book Antiqua" w:hAnsi="Book Antiqua"/>
          <w:sz w:val="24"/>
          <w:szCs w:val="24"/>
        </w:rPr>
      </w:pPr>
      <w:r>
        <w:rPr>
          <w:rFonts w:ascii="Book Antiqua" w:hAnsi="Book Antiqua"/>
          <w:sz w:val="24"/>
          <w:szCs w:val="24"/>
        </w:rPr>
        <w:t xml:space="preserve">The RGZ1 zones in Clifton Hill West and North Fitzroy have been poorly chosen, with little </w:t>
      </w:r>
      <w:r w:rsidR="007F7395">
        <w:rPr>
          <w:rFonts w:ascii="Book Antiqua" w:hAnsi="Book Antiqua"/>
          <w:sz w:val="24"/>
          <w:szCs w:val="24"/>
        </w:rPr>
        <w:t>regard for context or heritage.</w:t>
      </w:r>
    </w:p>
    <w:p w:rsidR="007F7395" w:rsidRDefault="007F7395" w:rsidP="007F7395">
      <w:pPr>
        <w:pStyle w:val="Quote"/>
        <w:ind w:left="0"/>
        <w:jc w:val="left"/>
        <w:rPr>
          <w:rFonts w:ascii="Book Antiqua" w:hAnsi="Book Antiqua"/>
          <w:i w:val="0"/>
          <w:iCs w:val="0"/>
          <w:color w:val="auto"/>
          <w:sz w:val="24"/>
          <w:szCs w:val="24"/>
        </w:rPr>
      </w:pPr>
      <w:r>
        <w:rPr>
          <w:rFonts w:ascii="Book Antiqua" w:hAnsi="Book Antiqua"/>
          <w:i w:val="0"/>
          <w:iCs w:val="0"/>
          <w:color w:val="auto"/>
          <w:sz w:val="24"/>
          <w:szCs w:val="24"/>
        </w:rPr>
        <w:t>The residential growth zones, particularly in North Fitzroy and Clifton Hill, aim to solve a problem that does not exist.</w:t>
      </w:r>
    </w:p>
    <w:p w:rsidR="000E308B" w:rsidRPr="000E308B" w:rsidRDefault="002C40D6" w:rsidP="009250A6">
      <w:pPr>
        <w:pStyle w:val="Quote"/>
        <w:ind w:left="0"/>
        <w:jc w:val="left"/>
        <w:rPr>
          <w:rFonts w:ascii="Book Antiqua" w:hAnsi="Book Antiqua"/>
          <w:b/>
          <w:sz w:val="24"/>
          <w:szCs w:val="24"/>
        </w:rPr>
      </w:pPr>
      <w:r w:rsidRPr="000E308B">
        <w:rPr>
          <w:rFonts w:ascii="Book Antiqua" w:hAnsi="Book Antiqua"/>
          <w:b/>
          <w:sz w:val="24"/>
          <w:szCs w:val="24"/>
        </w:rPr>
        <w:t xml:space="preserve">There is no evidence that development in </w:t>
      </w:r>
      <w:proofErr w:type="spellStart"/>
      <w:r w:rsidRPr="000E308B">
        <w:rPr>
          <w:rFonts w:ascii="Book Antiqua" w:hAnsi="Book Antiqua"/>
          <w:b/>
          <w:sz w:val="24"/>
          <w:szCs w:val="24"/>
        </w:rPr>
        <w:t>Yarra</w:t>
      </w:r>
      <w:proofErr w:type="spellEnd"/>
      <w:r w:rsidRPr="000E308B">
        <w:rPr>
          <w:rFonts w:ascii="Book Antiqua" w:hAnsi="Book Antiqua"/>
          <w:b/>
          <w:sz w:val="24"/>
          <w:szCs w:val="24"/>
        </w:rPr>
        <w:t xml:space="preserve"> is not appropriate to housing demand. </w:t>
      </w:r>
    </w:p>
    <w:p w:rsidR="000E308B" w:rsidRDefault="000E308B">
      <w:pPr>
        <w:rPr>
          <w:rFonts w:ascii="Book Antiqua" w:hAnsi="Book Antiqua"/>
          <w:sz w:val="24"/>
          <w:szCs w:val="24"/>
        </w:rPr>
      </w:pPr>
      <w:r>
        <w:rPr>
          <w:rFonts w:ascii="Book Antiqua" w:hAnsi="Book Antiqua"/>
          <w:sz w:val="24"/>
          <w:szCs w:val="24"/>
        </w:rPr>
        <w:t>When planning for population growth for</w:t>
      </w:r>
      <w:r w:rsidRPr="000E308B">
        <w:rPr>
          <w:rFonts w:ascii="Book Antiqua" w:hAnsi="Book Antiqua"/>
          <w:sz w:val="24"/>
          <w:szCs w:val="24"/>
        </w:rPr>
        <w:t xml:space="preserve"> </w:t>
      </w:r>
      <w:r>
        <w:rPr>
          <w:rFonts w:ascii="Book Antiqua" w:hAnsi="Book Antiqua"/>
          <w:sz w:val="24"/>
          <w:szCs w:val="24"/>
        </w:rPr>
        <w:t>Melbourne</w:t>
      </w:r>
      <w:r>
        <w:rPr>
          <w:rFonts w:ascii="Book Antiqua" w:hAnsi="Book Antiqua"/>
          <w:sz w:val="24"/>
          <w:szCs w:val="24"/>
        </w:rPr>
        <w:t xml:space="preserve">, it is counter-productive to impose the same population growth targets evenly. The planning provisions allow for local variation.  </w:t>
      </w:r>
    </w:p>
    <w:p w:rsidR="000E308B" w:rsidRDefault="000E308B">
      <w:pPr>
        <w:rPr>
          <w:rFonts w:ascii="Book Antiqua" w:hAnsi="Book Antiqua"/>
          <w:sz w:val="24"/>
          <w:szCs w:val="24"/>
        </w:rPr>
      </w:pPr>
      <w:r>
        <w:rPr>
          <w:rFonts w:ascii="Book Antiqua" w:hAnsi="Book Antiqua"/>
          <w:sz w:val="24"/>
          <w:szCs w:val="24"/>
        </w:rPr>
        <w:t>Z</w:t>
      </w:r>
      <w:r>
        <w:rPr>
          <w:rFonts w:ascii="Book Antiqua" w:hAnsi="Book Antiqua"/>
          <w:sz w:val="24"/>
          <w:szCs w:val="24"/>
        </w:rPr>
        <w:t xml:space="preserve">ooming in to the City of </w:t>
      </w:r>
      <w:proofErr w:type="spellStart"/>
      <w:r>
        <w:rPr>
          <w:rFonts w:ascii="Book Antiqua" w:hAnsi="Book Antiqua"/>
          <w:sz w:val="24"/>
          <w:szCs w:val="24"/>
        </w:rPr>
        <w:t>Yarra</w:t>
      </w:r>
      <w:proofErr w:type="spellEnd"/>
      <w:r>
        <w:rPr>
          <w:rFonts w:ascii="Book Antiqua" w:hAnsi="Book Antiqua"/>
          <w:sz w:val="24"/>
          <w:szCs w:val="24"/>
        </w:rPr>
        <w:t>, we see a vigorous development environment continuing into the future, evidenced by the cranes above Collingwood.  Even within the city we don’t expect the population to be evenly distributed in the name of balance.</w:t>
      </w:r>
    </w:p>
    <w:p w:rsidR="000E308B" w:rsidRDefault="000E308B" w:rsidP="000E308B">
      <w:pPr>
        <w:rPr>
          <w:rFonts w:ascii="Book Antiqua" w:hAnsi="Book Antiqua"/>
          <w:sz w:val="24"/>
          <w:szCs w:val="24"/>
        </w:rPr>
      </w:pPr>
      <w:r>
        <w:rPr>
          <w:rFonts w:ascii="Book Antiqua" w:hAnsi="Book Antiqua"/>
          <w:sz w:val="24"/>
          <w:szCs w:val="24"/>
        </w:rPr>
        <w:t xml:space="preserve">These residential zones lack strategic justification and should be rejected. </w:t>
      </w:r>
    </w:p>
    <w:p w:rsidR="009250A6" w:rsidRDefault="009250A6">
      <w:pPr>
        <w:rPr>
          <w:rFonts w:ascii="Book Antiqua" w:hAnsi="Book Antiqua"/>
          <w:sz w:val="24"/>
          <w:szCs w:val="24"/>
        </w:rPr>
      </w:pPr>
      <w:r>
        <w:rPr>
          <w:rFonts w:ascii="Book Antiqua" w:hAnsi="Book Antiqua"/>
          <w:sz w:val="24"/>
          <w:szCs w:val="24"/>
        </w:rPr>
        <w:br w:type="page"/>
      </w:r>
    </w:p>
    <w:p w:rsidR="00C21FDA" w:rsidRDefault="00B33918" w:rsidP="00C904BE">
      <w:pPr>
        <w:pStyle w:val="Heading1"/>
      </w:pPr>
      <w:r>
        <w:lastRenderedPageBreak/>
        <w:t>Inputs</w:t>
      </w:r>
    </w:p>
    <w:p w:rsidR="003C101B" w:rsidRDefault="006073E5" w:rsidP="00983B52">
      <w:pPr>
        <w:pStyle w:val="ListParagraph"/>
        <w:numPr>
          <w:ilvl w:val="0"/>
          <w:numId w:val="1"/>
        </w:numPr>
        <w:spacing w:after="360"/>
        <w:ind w:left="714" w:hanging="357"/>
        <w:rPr>
          <w:rFonts w:ascii="Book Antiqua" w:hAnsi="Book Antiqua"/>
        </w:rPr>
      </w:pPr>
      <w:r w:rsidRPr="000264B6">
        <w:rPr>
          <w:rFonts w:ascii="Book Antiqua" w:hAnsi="Book Antiqua"/>
          <w:b/>
          <w:sz w:val="24"/>
          <w:szCs w:val="24"/>
        </w:rPr>
        <w:t>Housing Need</w:t>
      </w:r>
      <w:r w:rsidR="00E277BE" w:rsidRPr="000264B6">
        <w:rPr>
          <w:rFonts w:ascii="Book Antiqua" w:hAnsi="Book Antiqua"/>
          <w:b/>
          <w:sz w:val="24"/>
          <w:szCs w:val="24"/>
        </w:rPr>
        <w:br/>
      </w:r>
      <w:r w:rsidR="00E277BE">
        <w:rPr>
          <w:rFonts w:ascii="Book Antiqua" w:hAnsi="Book Antiqua"/>
          <w:sz w:val="24"/>
          <w:szCs w:val="24"/>
        </w:rPr>
        <w:t>T</w:t>
      </w:r>
      <w:r w:rsidR="00CD00FB" w:rsidRPr="00C904BE">
        <w:rPr>
          <w:rFonts w:ascii="Book Antiqua" w:hAnsi="Book Antiqua"/>
          <w:sz w:val="24"/>
          <w:szCs w:val="24"/>
        </w:rPr>
        <w:t>he MSS</w:t>
      </w:r>
      <w:r w:rsidR="00C60CC6" w:rsidRPr="00C904BE">
        <w:rPr>
          <w:rFonts w:ascii="Book Antiqua" w:hAnsi="Book Antiqua"/>
          <w:sz w:val="24"/>
          <w:szCs w:val="24"/>
        </w:rPr>
        <w:t>,</w:t>
      </w:r>
      <w:r w:rsidR="00736BBB" w:rsidRPr="00C904BE">
        <w:rPr>
          <w:rFonts w:ascii="Book Antiqua" w:hAnsi="Book Antiqua"/>
          <w:sz w:val="24"/>
          <w:szCs w:val="24"/>
        </w:rPr>
        <w:t xml:space="preserve"> </w:t>
      </w:r>
      <w:r w:rsidR="00C60CC6" w:rsidRPr="00C904BE">
        <w:rPr>
          <w:rFonts w:ascii="Book Antiqua" w:hAnsi="Book Antiqua"/>
          <w:sz w:val="24"/>
          <w:szCs w:val="24"/>
        </w:rPr>
        <w:t>Clause 21.10 Future Work requires “Prepare a local housing strategy to take account of the Inner Metropolitan Housing Statement</w:t>
      </w:r>
      <w:r w:rsidR="004E2F47">
        <w:rPr>
          <w:rFonts w:ascii="Book Antiqua" w:hAnsi="Book Antiqua"/>
          <w:sz w:val="24"/>
          <w:szCs w:val="24"/>
        </w:rPr>
        <w:t xml:space="preserve">” </w:t>
      </w:r>
      <w:r w:rsidR="00CD00FB">
        <w:rPr>
          <w:rStyle w:val="FootnoteReference"/>
          <w:rFonts w:ascii="Book Antiqua" w:hAnsi="Book Antiqua"/>
        </w:rPr>
        <w:footnoteReference w:id="7"/>
      </w:r>
      <w:r w:rsidR="00CD00FB">
        <w:rPr>
          <w:rFonts w:ascii="Book Antiqua" w:hAnsi="Book Antiqua"/>
        </w:rPr>
        <w:t xml:space="preserve"> </w:t>
      </w:r>
      <w:r w:rsidR="00E277BE">
        <w:rPr>
          <w:rFonts w:ascii="Book Antiqua" w:hAnsi="Book Antiqua"/>
        </w:rPr>
        <w:br/>
      </w:r>
    </w:p>
    <w:p w:rsidR="006073E5" w:rsidRDefault="006073E5" w:rsidP="006073E5">
      <w:pPr>
        <w:pStyle w:val="ListParagraph"/>
        <w:numPr>
          <w:ilvl w:val="0"/>
          <w:numId w:val="1"/>
        </w:numPr>
        <w:rPr>
          <w:rFonts w:ascii="Book Antiqua" w:hAnsi="Book Antiqua"/>
        </w:rPr>
      </w:pPr>
      <w:r w:rsidRPr="000264B6">
        <w:rPr>
          <w:rFonts w:ascii="Book Antiqua" w:hAnsi="Book Antiqua"/>
          <w:b/>
          <w:sz w:val="24"/>
          <w:szCs w:val="24"/>
        </w:rPr>
        <w:t>Density</w:t>
      </w:r>
      <w:r w:rsidR="00E277BE" w:rsidRPr="000264B6">
        <w:rPr>
          <w:rFonts w:ascii="Book Antiqua" w:hAnsi="Book Antiqua"/>
          <w:b/>
          <w:sz w:val="24"/>
          <w:szCs w:val="24"/>
        </w:rPr>
        <w:br/>
      </w:r>
      <w:proofErr w:type="spellStart"/>
      <w:r w:rsidR="00733637" w:rsidRPr="00E277BE">
        <w:rPr>
          <w:rFonts w:ascii="Book Antiqua" w:hAnsi="Book Antiqua"/>
          <w:sz w:val="24"/>
          <w:szCs w:val="24"/>
        </w:rPr>
        <w:t>Yarra</w:t>
      </w:r>
      <w:proofErr w:type="spellEnd"/>
      <w:r w:rsidR="00733637" w:rsidRPr="00E277BE">
        <w:rPr>
          <w:rFonts w:ascii="Book Antiqua" w:hAnsi="Book Antiqua"/>
          <w:sz w:val="24"/>
          <w:szCs w:val="24"/>
        </w:rPr>
        <w:t xml:space="preserve"> averages just over 39 dwelling per </w:t>
      </w:r>
      <w:r w:rsidR="00517626" w:rsidRPr="00E277BE">
        <w:rPr>
          <w:rFonts w:ascii="Book Antiqua" w:hAnsi="Book Antiqua"/>
          <w:sz w:val="24"/>
          <w:szCs w:val="24"/>
        </w:rPr>
        <w:t>hectare of</w:t>
      </w:r>
      <w:r w:rsidR="00733637" w:rsidRPr="00E277BE">
        <w:rPr>
          <w:rFonts w:ascii="Book Antiqua" w:hAnsi="Book Antiqua"/>
          <w:sz w:val="24"/>
          <w:szCs w:val="24"/>
        </w:rPr>
        <w:t xml:space="preserve"> residentially zoned land.</w:t>
      </w:r>
      <w:r w:rsidR="00E277BE">
        <w:rPr>
          <w:rFonts w:ascii="Book Antiqua" w:hAnsi="Book Antiqua"/>
          <w:sz w:val="24"/>
          <w:szCs w:val="24"/>
        </w:rPr>
        <w:t xml:space="preserve"> M</w:t>
      </w:r>
      <w:r w:rsidR="00517626" w:rsidRPr="00E277BE">
        <w:rPr>
          <w:rFonts w:ascii="Book Antiqua" w:hAnsi="Book Antiqua"/>
          <w:sz w:val="24"/>
          <w:szCs w:val="24"/>
        </w:rPr>
        <w:t>ore than double the metropolitan average of only 18.2</w:t>
      </w:r>
      <w:r w:rsidR="00517626">
        <w:rPr>
          <w:rFonts w:ascii="Book Antiqua" w:hAnsi="Book Antiqua"/>
        </w:rPr>
        <w:t>.</w:t>
      </w:r>
      <w:r w:rsidR="00E277BE" w:rsidRPr="00E277BE">
        <w:rPr>
          <w:rFonts w:ascii="Book Antiqua" w:hAnsi="Book Antiqua"/>
          <w:sz w:val="24"/>
          <w:szCs w:val="24"/>
          <w:vertAlign w:val="superscript"/>
        </w:rPr>
        <w:t xml:space="preserve"> </w:t>
      </w:r>
      <w:r w:rsidR="00733637" w:rsidRPr="00E277BE">
        <w:rPr>
          <w:sz w:val="24"/>
          <w:szCs w:val="24"/>
          <w:vertAlign w:val="superscript"/>
        </w:rPr>
        <w:footnoteReference w:id="8"/>
      </w:r>
      <w:r w:rsidR="00E277BE">
        <w:rPr>
          <w:rFonts w:ascii="Book Antiqua" w:hAnsi="Book Antiqua"/>
        </w:rPr>
        <w:br/>
      </w:r>
    </w:p>
    <w:p w:rsidR="006073E5" w:rsidRPr="00E277BE" w:rsidRDefault="006073E5" w:rsidP="006073E5">
      <w:pPr>
        <w:pStyle w:val="ListParagraph"/>
        <w:numPr>
          <w:ilvl w:val="0"/>
          <w:numId w:val="1"/>
        </w:numPr>
        <w:rPr>
          <w:rFonts w:ascii="Book Antiqua" w:hAnsi="Book Antiqua"/>
          <w:sz w:val="24"/>
          <w:szCs w:val="24"/>
        </w:rPr>
      </w:pPr>
      <w:r w:rsidRPr="000264B6">
        <w:rPr>
          <w:rFonts w:ascii="Book Antiqua" w:hAnsi="Book Antiqua"/>
          <w:b/>
          <w:sz w:val="24"/>
          <w:szCs w:val="24"/>
        </w:rPr>
        <w:t>Accommodation Type</w:t>
      </w:r>
      <w:r w:rsidR="004E59CA" w:rsidRPr="000264B6">
        <w:rPr>
          <w:rFonts w:ascii="Book Antiqua" w:hAnsi="Book Antiqua"/>
          <w:b/>
          <w:sz w:val="24"/>
          <w:szCs w:val="24"/>
        </w:rPr>
        <w:br/>
      </w:r>
      <w:r w:rsidR="004E59CA" w:rsidRPr="00E277BE">
        <w:rPr>
          <w:rFonts w:ascii="Book Antiqua" w:hAnsi="Book Antiqua"/>
          <w:sz w:val="24"/>
          <w:szCs w:val="24"/>
        </w:rPr>
        <w:t xml:space="preserve">In comparison to the MSD, </w:t>
      </w:r>
      <w:proofErr w:type="spellStart"/>
      <w:r w:rsidR="004E59CA" w:rsidRPr="00E277BE">
        <w:rPr>
          <w:rFonts w:ascii="Book Antiqua" w:hAnsi="Book Antiqua"/>
          <w:sz w:val="24"/>
          <w:szCs w:val="24"/>
        </w:rPr>
        <w:t>Yarra</w:t>
      </w:r>
      <w:proofErr w:type="spellEnd"/>
      <w:r w:rsidR="004E59CA" w:rsidRPr="00E277BE">
        <w:rPr>
          <w:rFonts w:ascii="Book Antiqua" w:hAnsi="Book Antiqua"/>
          <w:sz w:val="24"/>
          <w:szCs w:val="24"/>
        </w:rPr>
        <w:t xml:space="preserve"> has more m</w:t>
      </w:r>
      <w:r w:rsidR="000264B6">
        <w:rPr>
          <w:rFonts w:ascii="Book Antiqua" w:hAnsi="Book Antiqua"/>
          <w:sz w:val="24"/>
          <w:szCs w:val="24"/>
        </w:rPr>
        <w:t xml:space="preserve">edium and high density housing </w:t>
      </w:r>
      <w:r w:rsidR="004E59CA" w:rsidRPr="00E277BE">
        <w:rPr>
          <w:rFonts w:ascii="Book Antiqua" w:hAnsi="Book Antiqua"/>
          <w:sz w:val="24"/>
          <w:szCs w:val="24"/>
        </w:rPr>
        <w:t>such as flats and units and fewer separate houses.</w:t>
      </w:r>
      <w:r w:rsidR="004E59CA" w:rsidRPr="00E277BE">
        <w:rPr>
          <w:sz w:val="24"/>
          <w:szCs w:val="24"/>
          <w:vertAlign w:val="superscript"/>
        </w:rPr>
        <w:footnoteReference w:id="9"/>
      </w:r>
      <w:r w:rsidR="004E59CA" w:rsidRPr="00E277BE">
        <w:rPr>
          <w:rFonts w:ascii="Book Antiqua" w:hAnsi="Book Antiqua"/>
          <w:sz w:val="24"/>
          <w:szCs w:val="24"/>
        </w:rPr>
        <w:br/>
      </w:r>
      <w:r w:rsidR="00E277BE">
        <w:rPr>
          <w:rFonts w:ascii="Book Antiqua" w:hAnsi="Book Antiqua"/>
          <w:sz w:val="24"/>
          <w:szCs w:val="24"/>
        </w:rPr>
        <w:t>Ref. Inner Urban Housing Study</w:t>
      </w:r>
      <w:r w:rsidR="00E277BE">
        <w:rPr>
          <w:rFonts w:ascii="Book Antiqua" w:hAnsi="Book Antiqua"/>
          <w:sz w:val="24"/>
          <w:szCs w:val="24"/>
        </w:rPr>
        <w:br/>
      </w:r>
    </w:p>
    <w:p w:rsidR="0096711D" w:rsidRPr="000264B6" w:rsidRDefault="006073E5" w:rsidP="00D119B0">
      <w:pPr>
        <w:pStyle w:val="ListParagraph"/>
        <w:numPr>
          <w:ilvl w:val="0"/>
          <w:numId w:val="1"/>
        </w:numPr>
        <w:rPr>
          <w:rFonts w:ascii="Book Antiqua" w:hAnsi="Book Antiqua"/>
        </w:rPr>
      </w:pPr>
      <w:r w:rsidRPr="000264B6">
        <w:rPr>
          <w:rFonts w:ascii="Book Antiqua" w:hAnsi="Book Antiqua"/>
          <w:b/>
          <w:sz w:val="24"/>
          <w:szCs w:val="24"/>
        </w:rPr>
        <w:t>Urban Design</w:t>
      </w:r>
      <w:r w:rsidR="00E277BE" w:rsidRPr="000264B6">
        <w:rPr>
          <w:rFonts w:ascii="Book Antiqua" w:hAnsi="Book Antiqua"/>
          <w:b/>
          <w:sz w:val="24"/>
          <w:szCs w:val="24"/>
        </w:rPr>
        <w:br/>
      </w:r>
      <w:r w:rsidR="006B5C7C" w:rsidRPr="000264B6">
        <w:rPr>
          <w:rFonts w:ascii="Book Antiqua" w:hAnsi="Book Antiqua"/>
        </w:rPr>
        <w:t xml:space="preserve">Urban Design Frameworks for Key Redevelopment Sites and Precincts, </w:t>
      </w:r>
      <w:proofErr w:type="spellStart"/>
      <w:r w:rsidR="006B5C7C" w:rsidRPr="000264B6">
        <w:rPr>
          <w:rFonts w:ascii="Book Antiqua" w:hAnsi="Book Antiqua"/>
        </w:rPr>
        <w:t>Yarra</w:t>
      </w:r>
      <w:proofErr w:type="spellEnd"/>
      <w:r w:rsidR="006B5C7C" w:rsidRPr="000264B6">
        <w:rPr>
          <w:rFonts w:ascii="Book Antiqua" w:hAnsi="Book Antiqua"/>
        </w:rPr>
        <w:t xml:space="preserve">, including the </w:t>
      </w:r>
      <w:hyperlink r:id="rId9" w:history="1">
        <w:r w:rsidR="006B5C7C" w:rsidRPr="000264B6">
          <w:rPr>
            <w:rStyle w:val="Hyperlink"/>
            <w:rFonts w:ascii="Book Antiqua" w:hAnsi="Book Antiqua"/>
          </w:rPr>
          <w:t>Former Fitzroy Gas Works, Urban Design Framework</w:t>
        </w:r>
      </w:hyperlink>
      <w:r w:rsidR="006B5C7C" w:rsidRPr="000264B6">
        <w:rPr>
          <w:rFonts w:ascii="Book Antiqua" w:hAnsi="Book Antiqua"/>
        </w:rPr>
        <w:t xml:space="preserve">, </w:t>
      </w:r>
      <w:r w:rsidR="00D72727" w:rsidRPr="000264B6">
        <w:rPr>
          <w:rFonts w:ascii="Book Antiqua" w:hAnsi="Book Antiqua"/>
        </w:rPr>
        <w:t xml:space="preserve">MGS, </w:t>
      </w:r>
      <w:r w:rsidR="0096711D" w:rsidRPr="000264B6">
        <w:rPr>
          <w:rFonts w:ascii="Book Antiqua" w:hAnsi="Book Antiqua"/>
        </w:rPr>
        <w:t>Adopted 21 October 2008</w:t>
      </w:r>
      <w:r w:rsidR="006B5C7C" w:rsidRPr="000264B6">
        <w:rPr>
          <w:rFonts w:ascii="Book Antiqua" w:hAnsi="Book Antiqua"/>
        </w:rPr>
        <w:t xml:space="preserve"> </w:t>
      </w:r>
    </w:p>
    <w:p w:rsidR="000264B6" w:rsidRDefault="0096711D" w:rsidP="00983B52">
      <w:pPr>
        <w:pStyle w:val="ListParagraph"/>
        <w:rPr>
          <w:rFonts w:ascii="Book Antiqua" w:hAnsi="Book Antiqua"/>
          <w:sz w:val="24"/>
          <w:szCs w:val="24"/>
        </w:rPr>
      </w:pPr>
      <w:r>
        <w:rPr>
          <w:noProof/>
          <w:lang w:val="en-AU" w:eastAsia="en-AU"/>
        </w:rPr>
        <w:drawing>
          <wp:inline distT="0" distB="0" distL="0" distR="0" wp14:anchorId="775D5F7B" wp14:editId="0E7C5F24">
            <wp:extent cx="5157216" cy="37483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2562" cy="3774036"/>
                    </a:xfrm>
                    <a:prstGeom prst="rect">
                      <a:avLst/>
                    </a:prstGeom>
                  </pic:spPr>
                </pic:pic>
              </a:graphicData>
            </a:graphic>
          </wp:inline>
        </w:drawing>
      </w:r>
      <w:r w:rsidR="006B5C7C">
        <w:rPr>
          <w:rFonts w:ascii="Book Antiqua" w:hAnsi="Book Antiqua"/>
          <w:sz w:val="24"/>
          <w:szCs w:val="24"/>
        </w:rPr>
        <w:br/>
      </w:r>
      <w:r w:rsidR="000264B6">
        <w:rPr>
          <w:rFonts w:ascii="Book Antiqua" w:hAnsi="Book Antiqua"/>
          <w:sz w:val="24"/>
          <w:szCs w:val="24"/>
        </w:rPr>
        <w:br w:type="page"/>
      </w:r>
    </w:p>
    <w:p w:rsidR="006B5C7C" w:rsidRDefault="006B5C7C" w:rsidP="006B5C7C">
      <w:pPr>
        <w:pStyle w:val="ListParagraph"/>
        <w:rPr>
          <w:rFonts w:ascii="Book Antiqua" w:hAnsi="Book Antiqua"/>
          <w:sz w:val="24"/>
          <w:szCs w:val="24"/>
        </w:rPr>
      </w:pPr>
    </w:p>
    <w:p w:rsidR="00E277BE" w:rsidRDefault="00E277BE" w:rsidP="00E277BE">
      <w:pPr>
        <w:pStyle w:val="ListParagraph"/>
        <w:rPr>
          <w:rFonts w:ascii="Book Antiqua" w:hAnsi="Book Antiqua"/>
          <w:sz w:val="24"/>
          <w:szCs w:val="24"/>
        </w:rPr>
      </w:pPr>
      <w:r>
        <w:rPr>
          <w:rFonts w:ascii="Book Antiqua" w:hAnsi="Book Antiqua"/>
          <w:sz w:val="24"/>
          <w:szCs w:val="24"/>
        </w:rPr>
        <w:t>R</w:t>
      </w:r>
      <w:r w:rsidR="00174715" w:rsidRPr="00E277BE">
        <w:rPr>
          <w:rFonts w:ascii="Book Antiqua" w:hAnsi="Book Antiqua"/>
          <w:sz w:val="24"/>
          <w:szCs w:val="24"/>
        </w:rPr>
        <w:t>ef</w:t>
      </w:r>
      <w:r w:rsidR="00B33918" w:rsidRPr="00E277BE">
        <w:rPr>
          <w:rFonts w:ascii="Book Antiqua" w:hAnsi="Book Antiqua"/>
          <w:sz w:val="24"/>
          <w:szCs w:val="24"/>
        </w:rPr>
        <w:t xml:space="preserve">er, </w:t>
      </w:r>
      <w:hyperlink r:id="rId11" w:history="1">
        <w:r w:rsidRPr="0059373E">
          <w:rPr>
            <w:rStyle w:val="Hyperlink"/>
            <w:rFonts w:ascii="Book Antiqua" w:hAnsi="Book Antiqua"/>
            <w:sz w:val="24"/>
            <w:szCs w:val="24"/>
          </w:rPr>
          <w:t>U</w:t>
        </w:r>
        <w:r w:rsidR="00B33918" w:rsidRPr="0059373E">
          <w:rPr>
            <w:rStyle w:val="Hyperlink"/>
            <w:rFonts w:ascii="Book Antiqua" w:hAnsi="Book Antiqua"/>
            <w:sz w:val="24"/>
            <w:szCs w:val="24"/>
          </w:rPr>
          <w:t xml:space="preserve">rban design expert witness evidence for City of </w:t>
        </w:r>
        <w:proofErr w:type="spellStart"/>
        <w:r w:rsidR="00B33918" w:rsidRPr="0059373E">
          <w:rPr>
            <w:rStyle w:val="Hyperlink"/>
            <w:rFonts w:ascii="Book Antiqua" w:hAnsi="Book Antiqua"/>
            <w:sz w:val="24"/>
            <w:szCs w:val="24"/>
          </w:rPr>
          <w:t>Yarra</w:t>
        </w:r>
        <w:proofErr w:type="spellEnd"/>
        <w:r w:rsidR="00B33918" w:rsidRPr="0059373E">
          <w:rPr>
            <w:rStyle w:val="Hyperlink"/>
            <w:rFonts w:ascii="Book Antiqua" w:hAnsi="Book Antiqua"/>
            <w:sz w:val="24"/>
            <w:szCs w:val="24"/>
          </w:rPr>
          <w:t xml:space="preserve"> to the East West Link</w:t>
        </w:r>
        <w:r w:rsidR="008841C8" w:rsidRPr="0059373E">
          <w:rPr>
            <w:rStyle w:val="Hyperlink"/>
            <w:rFonts w:ascii="Book Antiqua" w:hAnsi="Book Antiqua"/>
            <w:sz w:val="24"/>
            <w:szCs w:val="24"/>
          </w:rPr>
          <w:t xml:space="preserve">, Eastern Section </w:t>
        </w:r>
        <w:r w:rsidR="00B33918" w:rsidRPr="0059373E">
          <w:rPr>
            <w:rStyle w:val="Hyperlink"/>
            <w:rFonts w:ascii="Book Antiqua" w:hAnsi="Book Antiqua"/>
            <w:sz w:val="24"/>
            <w:szCs w:val="24"/>
          </w:rPr>
          <w:t>Assessment Committee</w:t>
        </w:r>
        <w:r w:rsidR="00AC7633" w:rsidRPr="0059373E">
          <w:rPr>
            <w:rStyle w:val="Hyperlink"/>
            <w:rFonts w:ascii="Book Antiqua" w:hAnsi="Book Antiqua"/>
            <w:sz w:val="24"/>
            <w:szCs w:val="24"/>
          </w:rPr>
          <w:t xml:space="preserve"> </w:t>
        </w:r>
        <w:proofErr w:type="gramStart"/>
        <w:r w:rsidR="00AC7633" w:rsidRPr="0059373E">
          <w:rPr>
            <w:rStyle w:val="Hyperlink"/>
            <w:rFonts w:ascii="Book Antiqua" w:hAnsi="Book Antiqua"/>
            <w:sz w:val="24"/>
            <w:szCs w:val="24"/>
          </w:rPr>
          <w:t>by  Rob</w:t>
        </w:r>
        <w:proofErr w:type="gramEnd"/>
        <w:r w:rsidR="00AC7633" w:rsidRPr="0059373E">
          <w:rPr>
            <w:rStyle w:val="Hyperlink"/>
            <w:rFonts w:ascii="Book Antiqua" w:hAnsi="Book Antiqua"/>
            <w:sz w:val="24"/>
            <w:szCs w:val="24"/>
          </w:rPr>
          <w:t xml:space="preserve"> McGauran</w:t>
        </w:r>
      </w:hyperlink>
      <w:r w:rsidR="00B33918" w:rsidRPr="00E277BE">
        <w:rPr>
          <w:rFonts w:ascii="Book Antiqua" w:hAnsi="Book Antiqua"/>
          <w:sz w:val="24"/>
          <w:szCs w:val="24"/>
        </w:rPr>
        <w:t>.</w:t>
      </w:r>
      <w:r w:rsidR="0059373E">
        <w:rPr>
          <w:rStyle w:val="FootnoteReference"/>
          <w:rFonts w:ascii="Book Antiqua" w:hAnsi="Book Antiqua"/>
          <w:sz w:val="24"/>
          <w:szCs w:val="24"/>
        </w:rPr>
        <w:footnoteReference w:id="10"/>
      </w:r>
    </w:p>
    <w:p w:rsidR="0059373E" w:rsidRDefault="0059373E" w:rsidP="00983B52">
      <w:pPr>
        <w:pStyle w:val="ListParagraph"/>
        <w:jc w:val="center"/>
        <w:rPr>
          <w:rFonts w:ascii="Book Antiqua" w:hAnsi="Book Antiqua"/>
          <w:sz w:val="24"/>
          <w:szCs w:val="24"/>
        </w:rPr>
      </w:pPr>
      <w:r>
        <w:rPr>
          <w:noProof/>
          <w:lang w:val="en-AU" w:eastAsia="en-AU"/>
        </w:rPr>
        <w:drawing>
          <wp:inline distT="0" distB="0" distL="0" distR="0" wp14:anchorId="4A336710" wp14:editId="3194F091">
            <wp:extent cx="5943600" cy="2983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83230"/>
                    </a:xfrm>
                    <a:prstGeom prst="rect">
                      <a:avLst/>
                    </a:prstGeom>
                  </pic:spPr>
                </pic:pic>
              </a:graphicData>
            </a:graphic>
          </wp:inline>
        </w:drawing>
      </w:r>
    </w:p>
    <w:p w:rsidR="006B5C7C" w:rsidRDefault="006B5C7C" w:rsidP="00E277BE">
      <w:pPr>
        <w:pStyle w:val="ListParagraph"/>
        <w:rPr>
          <w:rFonts w:ascii="Book Antiqua" w:hAnsi="Book Antiqua"/>
          <w:sz w:val="24"/>
          <w:szCs w:val="24"/>
        </w:rPr>
      </w:pPr>
    </w:p>
    <w:p w:rsidR="006B5C7C" w:rsidRDefault="006B5C7C" w:rsidP="00983B52">
      <w:pPr>
        <w:pStyle w:val="ListParagraph"/>
        <w:jc w:val="center"/>
        <w:rPr>
          <w:rFonts w:ascii="Book Antiqua" w:hAnsi="Book Antiqua"/>
          <w:sz w:val="24"/>
          <w:szCs w:val="24"/>
        </w:rPr>
      </w:pPr>
      <w:r>
        <w:rPr>
          <w:noProof/>
          <w:lang w:val="en-AU" w:eastAsia="en-AU"/>
        </w:rPr>
        <w:drawing>
          <wp:inline distT="0" distB="0" distL="0" distR="0" wp14:anchorId="376D5E64" wp14:editId="436AAA5C">
            <wp:extent cx="5943600" cy="315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52775"/>
                    </a:xfrm>
                    <a:prstGeom prst="rect">
                      <a:avLst/>
                    </a:prstGeom>
                  </pic:spPr>
                </pic:pic>
              </a:graphicData>
            </a:graphic>
          </wp:inline>
        </w:drawing>
      </w:r>
    </w:p>
    <w:p w:rsidR="000264B6" w:rsidRDefault="000264B6">
      <w:pPr>
        <w:rPr>
          <w:rFonts w:ascii="Book Antiqua" w:hAnsi="Book Antiqua"/>
          <w:sz w:val="24"/>
          <w:szCs w:val="24"/>
        </w:rPr>
      </w:pPr>
      <w:r>
        <w:rPr>
          <w:rFonts w:ascii="Book Antiqua" w:hAnsi="Book Antiqua"/>
          <w:sz w:val="24"/>
          <w:szCs w:val="24"/>
        </w:rPr>
        <w:br w:type="page"/>
      </w:r>
    </w:p>
    <w:p w:rsidR="0059373E" w:rsidRDefault="0059373E" w:rsidP="00E277BE">
      <w:pPr>
        <w:pStyle w:val="ListParagraph"/>
        <w:rPr>
          <w:rFonts w:ascii="Book Antiqua" w:hAnsi="Book Antiqua"/>
          <w:sz w:val="24"/>
          <w:szCs w:val="24"/>
        </w:rPr>
      </w:pPr>
    </w:p>
    <w:p w:rsidR="00906D71" w:rsidRPr="000264B6" w:rsidRDefault="006073E5" w:rsidP="006073E5">
      <w:pPr>
        <w:pStyle w:val="ListParagraph"/>
        <w:numPr>
          <w:ilvl w:val="0"/>
          <w:numId w:val="1"/>
        </w:numPr>
        <w:rPr>
          <w:rFonts w:ascii="Book Antiqua" w:hAnsi="Book Antiqua"/>
          <w:i/>
          <w:sz w:val="24"/>
          <w:szCs w:val="24"/>
        </w:rPr>
      </w:pPr>
      <w:r w:rsidRPr="000264B6">
        <w:rPr>
          <w:rFonts w:ascii="Book Antiqua" w:hAnsi="Book Antiqua"/>
          <w:b/>
          <w:sz w:val="24"/>
          <w:szCs w:val="24"/>
        </w:rPr>
        <w:t>Heritage</w:t>
      </w:r>
      <w:r w:rsidR="00E277BE">
        <w:rPr>
          <w:rFonts w:ascii="Book Antiqua" w:hAnsi="Book Antiqua"/>
          <w:sz w:val="24"/>
          <w:szCs w:val="24"/>
        </w:rPr>
        <w:br/>
      </w:r>
      <w:r w:rsidR="00A92DD4">
        <w:rPr>
          <w:rFonts w:ascii="Book Antiqua" w:hAnsi="Book Antiqua"/>
          <w:sz w:val="24"/>
          <w:szCs w:val="24"/>
        </w:rPr>
        <w:br/>
        <w:t>T</w:t>
      </w:r>
      <w:r w:rsidR="00906D71" w:rsidRPr="00E277BE">
        <w:rPr>
          <w:rFonts w:ascii="Book Antiqua" w:hAnsi="Book Antiqua"/>
          <w:sz w:val="24"/>
          <w:szCs w:val="24"/>
        </w:rPr>
        <w:t>he importance of heritage to the identity an</w:t>
      </w:r>
      <w:r w:rsidR="00A92DD4">
        <w:rPr>
          <w:rFonts w:ascii="Book Antiqua" w:hAnsi="Book Antiqua"/>
          <w:sz w:val="24"/>
          <w:szCs w:val="24"/>
        </w:rPr>
        <w:t>d character of the municipality</w:t>
      </w:r>
      <w:r w:rsidR="00D26159" w:rsidRPr="00E277BE">
        <w:rPr>
          <w:rFonts w:ascii="Book Antiqua" w:hAnsi="Book Antiqua"/>
          <w:sz w:val="24"/>
          <w:szCs w:val="24"/>
        </w:rPr>
        <w:t xml:space="preserve"> </w:t>
      </w:r>
      <w:r w:rsidR="00906D71" w:rsidRPr="00E277BE">
        <w:rPr>
          <w:rFonts w:ascii="Book Antiqua" w:hAnsi="Book Antiqua"/>
          <w:sz w:val="24"/>
          <w:szCs w:val="24"/>
        </w:rPr>
        <w:t xml:space="preserve">C85, </w:t>
      </w:r>
      <w:r w:rsidR="000264B6">
        <w:rPr>
          <w:rFonts w:ascii="Book Antiqua" w:hAnsi="Book Antiqua"/>
          <w:sz w:val="24"/>
          <w:szCs w:val="24"/>
        </w:rPr>
        <w:t>Clause 21.05 Built Form</w:t>
      </w:r>
      <w:r w:rsidR="00906D71" w:rsidRPr="00E277BE">
        <w:rPr>
          <w:rFonts w:ascii="Book Antiqua" w:hAnsi="Book Antiqua"/>
          <w:sz w:val="24"/>
          <w:szCs w:val="24"/>
        </w:rPr>
        <w:t xml:space="preserve"> of </w:t>
      </w:r>
      <w:r w:rsidR="00D26159" w:rsidRPr="00E277BE">
        <w:rPr>
          <w:rFonts w:ascii="Book Antiqua" w:hAnsi="Book Antiqua"/>
          <w:sz w:val="24"/>
          <w:szCs w:val="24"/>
        </w:rPr>
        <w:t>MSS</w:t>
      </w:r>
      <w:r w:rsidR="000264B6">
        <w:rPr>
          <w:rFonts w:ascii="Book Antiqua" w:hAnsi="Book Antiqua"/>
          <w:sz w:val="24"/>
          <w:szCs w:val="24"/>
        </w:rPr>
        <w:t xml:space="preserve"> requires that:</w:t>
      </w:r>
      <w:r w:rsidR="00D26159" w:rsidRPr="00E277BE">
        <w:rPr>
          <w:rFonts w:ascii="Book Antiqua" w:hAnsi="Book Antiqua"/>
          <w:sz w:val="24"/>
          <w:szCs w:val="24"/>
        </w:rPr>
        <w:t xml:space="preserve"> </w:t>
      </w:r>
      <w:r w:rsidR="00906D71" w:rsidRPr="00E277BE">
        <w:rPr>
          <w:rFonts w:ascii="Book Antiqua" w:hAnsi="Book Antiqua"/>
          <w:sz w:val="24"/>
          <w:szCs w:val="24"/>
        </w:rPr>
        <w:t xml:space="preserve"> </w:t>
      </w:r>
      <w:r w:rsidR="000264B6">
        <w:rPr>
          <w:rFonts w:ascii="Book Antiqua" w:hAnsi="Book Antiqua"/>
          <w:sz w:val="24"/>
          <w:szCs w:val="24"/>
        </w:rPr>
        <w:br/>
      </w:r>
      <w:r w:rsidR="000264B6">
        <w:rPr>
          <w:rFonts w:ascii="Book Antiqua" w:hAnsi="Book Antiqua"/>
          <w:i/>
          <w:sz w:val="24"/>
          <w:szCs w:val="24"/>
        </w:rPr>
        <w:br/>
      </w:r>
      <w:r w:rsidR="00906D71" w:rsidRPr="000264B6">
        <w:rPr>
          <w:rFonts w:ascii="Book Antiqua" w:hAnsi="Book Antiqua"/>
          <w:i/>
          <w:sz w:val="24"/>
          <w:szCs w:val="24"/>
        </w:rPr>
        <w:t>The cultural significance of heritage places must not be compromised by new development.</w:t>
      </w:r>
      <w:r w:rsidR="007A4A84" w:rsidRPr="000264B6">
        <w:rPr>
          <w:i/>
          <w:sz w:val="24"/>
          <w:szCs w:val="24"/>
          <w:vertAlign w:val="superscript"/>
        </w:rPr>
        <w:footnoteReference w:id="11"/>
      </w:r>
    </w:p>
    <w:p w:rsidR="00E277BE" w:rsidRPr="00E277BE" w:rsidRDefault="00A04D7D" w:rsidP="000264B6">
      <w:pPr>
        <w:pStyle w:val="Heading1"/>
      </w:pPr>
      <w:r>
        <w:t xml:space="preserve">References </w:t>
      </w:r>
      <w:r w:rsidR="00B57A88">
        <w:t>Review</w:t>
      </w:r>
    </w:p>
    <w:p w:rsidR="00E277BE" w:rsidRDefault="00552CCA" w:rsidP="00A92DD4">
      <w:pPr>
        <w:pStyle w:val="ListParagraph"/>
        <w:numPr>
          <w:ilvl w:val="0"/>
          <w:numId w:val="10"/>
        </w:numPr>
        <w:rPr>
          <w:rFonts w:ascii="Book Antiqua" w:hAnsi="Book Antiqua"/>
        </w:rPr>
      </w:pPr>
      <w:r w:rsidRPr="00A92DD4">
        <w:rPr>
          <w:rFonts w:ascii="Book Antiqua" w:hAnsi="Book Antiqua"/>
          <w:b/>
        </w:rPr>
        <w:t>MSS Vision, Built Form</w:t>
      </w:r>
      <w:r w:rsidRPr="00A92DD4">
        <w:rPr>
          <w:rFonts w:ascii="Book Antiqua" w:hAnsi="Book Antiqua"/>
          <w:b/>
        </w:rPr>
        <w:br/>
      </w:r>
      <w:r>
        <w:rPr>
          <w:rFonts w:ascii="Book Antiqua" w:hAnsi="Book Antiqua"/>
        </w:rPr>
        <w:t>MSS Figure 1</w:t>
      </w:r>
      <w:r w:rsidR="006315B3">
        <w:rPr>
          <w:rFonts w:ascii="Book Antiqua" w:hAnsi="Book Antiqua"/>
        </w:rPr>
        <w:t>,</w:t>
      </w:r>
      <w:r>
        <w:rPr>
          <w:rFonts w:ascii="Book Antiqua" w:hAnsi="Book Antiqua"/>
        </w:rPr>
        <w:t xml:space="preserve"> Strategic Framework Plan</w:t>
      </w:r>
      <w:r>
        <w:rPr>
          <w:rFonts w:ascii="Book Antiqua" w:hAnsi="Book Antiqua"/>
        </w:rPr>
        <w:br/>
        <w:t>MSS Figure 2, Residential Opportunities Map</w:t>
      </w:r>
      <w:r w:rsidR="009B0870">
        <w:rPr>
          <w:rFonts w:ascii="Book Antiqua" w:hAnsi="Book Antiqua"/>
        </w:rPr>
        <w:br/>
        <w:t xml:space="preserve">Residential Zones Implementation </w:t>
      </w:r>
      <w:r w:rsidR="003803FA">
        <w:rPr>
          <w:rFonts w:ascii="Book Antiqua" w:hAnsi="Book Antiqua"/>
        </w:rPr>
        <w:t>A</w:t>
      </w:r>
      <w:r w:rsidR="009B0870">
        <w:rPr>
          <w:rFonts w:ascii="Book Antiqua" w:hAnsi="Book Antiqua"/>
        </w:rPr>
        <w:t>dvice</w:t>
      </w:r>
      <w:r w:rsidR="006315B3">
        <w:rPr>
          <w:rFonts w:ascii="Book Antiqua" w:hAnsi="Book Antiqua"/>
        </w:rPr>
        <w:t xml:space="preserve"> </w:t>
      </w:r>
      <w:r w:rsidR="009B0870" w:rsidRPr="006315B3">
        <w:rPr>
          <w:rStyle w:val="FootnoteReference"/>
          <w:rFonts w:ascii="Book Antiqua" w:hAnsi="Book Antiqua"/>
          <w:b/>
        </w:rPr>
        <w:footnoteReference w:id="12"/>
      </w:r>
      <w:r w:rsidR="006315B3">
        <w:rPr>
          <w:rFonts w:ascii="Book Antiqua" w:hAnsi="Book Antiqua"/>
        </w:rPr>
        <w:br/>
      </w:r>
      <w:r w:rsidR="00C871E2">
        <w:rPr>
          <w:rFonts w:ascii="Book Antiqua" w:hAnsi="Book Antiqua"/>
        </w:rPr>
        <w:br/>
        <w:t xml:space="preserve">Residential development analysis from </w:t>
      </w:r>
      <w:r w:rsidR="00C050D7">
        <w:rPr>
          <w:rFonts w:ascii="Book Antiqua" w:hAnsi="Book Antiqua"/>
        </w:rPr>
        <w:t>DTPLI based on the 2011 Census data indicates that limited growth has occurred in the City’s residential areas. (Refer Table2).</w:t>
      </w:r>
      <w:r w:rsidR="00C050D7">
        <w:rPr>
          <w:rFonts w:ascii="Book Antiqua" w:hAnsi="Book Antiqua"/>
        </w:rPr>
        <w:br/>
        <w:t xml:space="preserve">This indicates that additional housing, particularly higher density housing largely occurs outside the </w:t>
      </w:r>
      <w:r w:rsidR="006315B3">
        <w:rPr>
          <w:rFonts w:ascii="Book Antiqua" w:hAnsi="Book Antiqua"/>
        </w:rPr>
        <w:t>municipality’s residential zone.</w:t>
      </w:r>
      <w:r w:rsidR="00C050D7">
        <w:rPr>
          <w:rFonts w:ascii="Book Antiqua" w:hAnsi="Book Antiqua"/>
        </w:rPr>
        <w:br/>
      </w:r>
    </w:p>
    <w:p w:rsidR="00EB6C9E" w:rsidRDefault="00C050D7" w:rsidP="00E277BE">
      <w:pPr>
        <w:pStyle w:val="ListParagraph"/>
        <w:ind w:left="426"/>
        <w:rPr>
          <w:rFonts w:ascii="Book Antiqua" w:hAnsi="Book Antiqua"/>
        </w:rPr>
      </w:pPr>
      <w:r>
        <w:rPr>
          <w:rFonts w:ascii="Book Antiqua" w:hAnsi="Book Antiqua"/>
        </w:rPr>
        <w:t>In considering the role of the Mixed Use</w:t>
      </w:r>
      <w:r w:rsidR="006315B3">
        <w:rPr>
          <w:rFonts w:ascii="Book Antiqua" w:hAnsi="Book Antiqua"/>
        </w:rPr>
        <w:t>, Commercial</w:t>
      </w:r>
      <w:r>
        <w:rPr>
          <w:rFonts w:ascii="Book Antiqua" w:hAnsi="Book Antiqua"/>
        </w:rPr>
        <w:t>, Comprehensive and Priority Development Zones to the provision of housing</w:t>
      </w:r>
      <w:r w:rsidR="001C1A1A">
        <w:rPr>
          <w:rFonts w:ascii="Book Antiqua" w:hAnsi="Book Antiqua"/>
        </w:rPr>
        <w:t>, these past</w:t>
      </w:r>
      <w:r w:rsidR="00D86A42">
        <w:rPr>
          <w:rFonts w:ascii="Book Antiqua" w:hAnsi="Book Antiqua"/>
        </w:rPr>
        <w:t xml:space="preserve"> </w:t>
      </w:r>
      <w:r w:rsidR="001C1A1A">
        <w:rPr>
          <w:rFonts w:ascii="Book Antiqua" w:hAnsi="Book Antiqua"/>
        </w:rPr>
        <w:t xml:space="preserve">development trends suggest that higher density dwellings should continue to be provided and facilitated in these areas to meet the demand for medium and higher density housing. </w:t>
      </w:r>
      <w:r>
        <w:rPr>
          <w:rFonts w:ascii="Book Antiqua" w:hAnsi="Book Antiqua"/>
        </w:rPr>
        <w:t xml:space="preserve"> </w:t>
      </w:r>
      <w:r w:rsidR="009B0870">
        <w:rPr>
          <w:rFonts w:ascii="Book Antiqua" w:hAnsi="Book Antiqua"/>
        </w:rPr>
        <w:br/>
      </w:r>
      <w:r w:rsidR="00552CCA">
        <w:rPr>
          <w:rFonts w:ascii="Book Antiqua" w:hAnsi="Book Antiqua"/>
        </w:rPr>
        <w:br/>
      </w:r>
      <w:r w:rsidR="006D516D">
        <w:rPr>
          <w:rFonts w:ascii="Book Antiqua" w:hAnsi="Book Antiqua"/>
        </w:rPr>
        <w:t xml:space="preserve">61% of new dwellings occurred outside of heritage precincts across all zones, with 11% being constructed within heritage precincts in the Residential 1 Zone </w:t>
      </w:r>
      <w:r w:rsidR="006315B3">
        <w:rPr>
          <w:rFonts w:ascii="Book Antiqua" w:hAnsi="Book Antiqua"/>
        </w:rPr>
        <w:br/>
      </w:r>
      <w:r w:rsidR="006D516D">
        <w:rPr>
          <w:rFonts w:ascii="Book Antiqua" w:hAnsi="Book Antiqua"/>
        </w:rPr>
        <w:t>(refer to Tables 2and 3</w:t>
      </w:r>
      <w:proofErr w:type="gramStart"/>
      <w:r w:rsidR="006D516D">
        <w:rPr>
          <w:rFonts w:ascii="Book Antiqua" w:hAnsi="Book Antiqua"/>
        </w:rPr>
        <w:t>)</w:t>
      </w:r>
      <w:r w:rsidR="006315B3">
        <w:rPr>
          <w:rFonts w:ascii="Book Antiqua" w:hAnsi="Book Antiqua"/>
        </w:rPr>
        <w:t xml:space="preserve"> </w:t>
      </w:r>
      <w:proofErr w:type="gramEnd"/>
      <w:r w:rsidR="006D516D" w:rsidRPr="006315B3">
        <w:rPr>
          <w:rStyle w:val="FootnoteReference"/>
          <w:rFonts w:ascii="Book Antiqua" w:hAnsi="Book Antiqua"/>
          <w:b/>
        </w:rPr>
        <w:footnoteReference w:id="13"/>
      </w:r>
      <w:r w:rsidR="006D516D">
        <w:rPr>
          <w:rFonts w:ascii="Book Antiqua" w:hAnsi="Book Antiqua"/>
        </w:rPr>
        <w:t>.</w:t>
      </w:r>
      <w:r w:rsidR="00E277BE">
        <w:rPr>
          <w:rFonts w:ascii="Book Antiqua" w:hAnsi="Book Antiqua"/>
        </w:rPr>
        <w:br/>
      </w:r>
    </w:p>
    <w:p w:rsidR="00E277BE" w:rsidRDefault="00B57A88" w:rsidP="00A92DD4">
      <w:pPr>
        <w:pStyle w:val="ListParagraph"/>
        <w:numPr>
          <w:ilvl w:val="0"/>
          <w:numId w:val="10"/>
        </w:numPr>
        <w:ind w:left="426" w:hanging="720"/>
        <w:rPr>
          <w:rFonts w:ascii="Book Antiqua" w:hAnsi="Book Antiqua"/>
        </w:rPr>
      </w:pPr>
      <w:r w:rsidRPr="00A92DD4">
        <w:rPr>
          <w:rFonts w:ascii="Book Antiqua" w:hAnsi="Book Antiqua"/>
          <w:b/>
        </w:rPr>
        <w:t>Amendment C85</w:t>
      </w:r>
      <w:r w:rsidRPr="00635E8B">
        <w:rPr>
          <w:rFonts w:ascii="Book Antiqua" w:hAnsi="Book Antiqua"/>
        </w:rPr>
        <w:t xml:space="preserve">, Clause </w:t>
      </w:r>
      <w:r w:rsidRPr="00635E8B">
        <w:rPr>
          <w:rFonts w:ascii="Book Antiqua" w:hAnsi="Book Antiqua"/>
          <w:u w:val="single"/>
        </w:rPr>
        <w:t>22.02-1 Policy Basis</w:t>
      </w:r>
      <w:r w:rsidRPr="00635E8B">
        <w:rPr>
          <w:rFonts w:ascii="Book Antiqua" w:hAnsi="Book Antiqua"/>
        </w:rPr>
        <w:t xml:space="preserve"> gives </w:t>
      </w:r>
      <w:r w:rsidR="00E277BE">
        <w:rPr>
          <w:rFonts w:ascii="Book Antiqua" w:hAnsi="Book Antiqua"/>
        </w:rPr>
        <w:t xml:space="preserve">guidance for the protection and </w:t>
      </w:r>
      <w:r w:rsidRPr="00635E8B">
        <w:rPr>
          <w:rFonts w:ascii="Book Antiqua" w:hAnsi="Book Antiqua"/>
        </w:rPr>
        <w:t>enhancement of the City’s identified places of cultural and natural heritage significance.</w:t>
      </w:r>
      <w:r w:rsidR="00635E8B" w:rsidRPr="00635E8B">
        <w:rPr>
          <w:rFonts w:ascii="Book Antiqua" w:hAnsi="Book Antiqua"/>
        </w:rPr>
        <w:br/>
      </w:r>
    </w:p>
    <w:p w:rsidR="00E277BE" w:rsidRPr="006315B3" w:rsidRDefault="003667AC" w:rsidP="00A92DD4">
      <w:pPr>
        <w:pStyle w:val="ListParagraph"/>
        <w:numPr>
          <w:ilvl w:val="0"/>
          <w:numId w:val="10"/>
        </w:numPr>
        <w:ind w:left="426" w:hanging="710"/>
        <w:rPr>
          <w:rFonts w:ascii="Book Antiqua" w:hAnsi="Book Antiqua"/>
        </w:rPr>
      </w:pPr>
      <w:r w:rsidRPr="003667AC">
        <w:rPr>
          <w:rFonts w:ascii="Book Antiqua" w:hAnsi="Book Antiqua"/>
        </w:rPr>
        <w:t xml:space="preserve">YARRA INDUSTRIAL AND BUSINESS LAND STRATEGY REVIEW, Final Report  Prepared by  Hansen Partnership and Charter Keck Cramer For City of </w:t>
      </w:r>
      <w:proofErr w:type="spellStart"/>
      <w:r w:rsidRPr="003667AC">
        <w:rPr>
          <w:rFonts w:ascii="Book Antiqua" w:hAnsi="Book Antiqua"/>
        </w:rPr>
        <w:t>Yarra</w:t>
      </w:r>
      <w:proofErr w:type="spellEnd"/>
      <w:r w:rsidRPr="003667AC">
        <w:rPr>
          <w:rFonts w:ascii="Book Antiqua" w:hAnsi="Book Antiqua"/>
        </w:rPr>
        <w:t>, Sept</w:t>
      </w:r>
      <w:r>
        <w:rPr>
          <w:rFonts w:ascii="Book Antiqua" w:hAnsi="Book Antiqua"/>
        </w:rPr>
        <w:t xml:space="preserve"> </w:t>
      </w:r>
      <w:r w:rsidRPr="003667AC">
        <w:rPr>
          <w:rFonts w:ascii="Book Antiqua" w:hAnsi="Book Antiqua"/>
        </w:rPr>
        <w:t xml:space="preserve">2004 </w:t>
      </w:r>
      <w:r w:rsidRPr="003667AC">
        <w:rPr>
          <w:rFonts w:ascii="Book Antiqua" w:hAnsi="Book Antiqua"/>
        </w:rPr>
        <w:br/>
        <w:t>http://www.yarracity.vic.gov.au/DownloadDocument.ashx?DocumentID=804</w:t>
      </w:r>
      <w:r w:rsidR="00E277BE" w:rsidRPr="003667AC">
        <w:rPr>
          <w:rFonts w:ascii="Book Antiqua" w:hAnsi="Book Antiqua"/>
        </w:rPr>
        <w:t xml:space="preserve"> </w:t>
      </w:r>
    </w:p>
    <w:p w:rsidR="00636432" w:rsidRDefault="00636432">
      <w:pPr>
        <w:rPr>
          <w:rFonts w:asciiTheme="majorHAnsi" w:eastAsiaTheme="majorEastAsia" w:hAnsiTheme="majorHAnsi" w:cstheme="majorBidi"/>
          <w:b/>
          <w:bCs/>
          <w:color w:val="365F91" w:themeColor="accent1" w:themeShade="BF"/>
          <w:sz w:val="28"/>
          <w:szCs w:val="28"/>
        </w:rPr>
      </w:pPr>
      <w:r>
        <w:br w:type="page"/>
      </w:r>
    </w:p>
    <w:p w:rsidR="00636432" w:rsidRDefault="00636432" w:rsidP="00115849">
      <w:pPr>
        <w:pStyle w:val="Heading1"/>
      </w:pPr>
      <w:r>
        <w:lastRenderedPageBreak/>
        <w:t>Survey of under-developed land</w:t>
      </w:r>
    </w:p>
    <w:p w:rsidR="00636432" w:rsidRDefault="00514E76" w:rsidP="00514E76">
      <w:r>
        <w:t xml:space="preserve">Original Research by Graeme </w:t>
      </w:r>
      <w:proofErr w:type="spellStart"/>
      <w:r>
        <w:t>Loughlin</w:t>
      </w:r>
      <w:proofErr w:type="spellEnd"/>
      <w:r>
        <w:t xml:space="preserve">, </w:t>
      </w:r>
      <w:r w:rsidR="00947EA8">
        <w:t xml:space="preserve">Sept 2014, </w:t>
      </w:r>
      <w:r>
        <w:t xml:space="preserve">for </w:t>
      </w:r>
      <w:r w:rsidR="00947EA8">
        <w:t>t</w:t>
      </w:r>
      <w:r>
        <w:t>he 3068 Group</w:t>
      </w:r>
    </w:p>
    <w:p w:rsidR="00514E76" w:rsidRPr="00514E76" w:rsidRDefault="00514E76" w:rsidP="00947EA8">
      <w:pPr>
        <w:pStyle w:val="Heading2"/>
        <w:numPr>
          <w:ilvl w:val="0"/>
          <w:numId w:val="9"/>
        </w:numPr>
        <w:rPr>
          <w:rFonts w:asciiTheme="minorHAnsi" w:hAnsiTheme="minorHAnsi" w:cstheme="minorBidi"/>
          <w:sz w:val="22"/>
          <w:szCs w:val="22"/>
        </w:rPr>
      </w:pPr>
      <w:r w:rsidRPr="00514E76">
        <w:t>Under-developed land Hoddle Street, Victoria Park</w:t>
      </w:r>
    </w:p>
    <w:tbl>
      <w:tblPr>
        <w:tblW w:w="9788"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531"/>
        <w:gridCol w:w="2013"/>
        <w:gridCol w:w="2693"/>
        <w:gridCol w:w="709"/>
        <w:gridCol w:w="992"/>
      </w:tblGrid>
      <w:tr w:rsidR="00947EA8" w:rsidTr="00947EA8">
        <w:trPr>
          <w:trHeight w:val="548"/>
        </w:trPr>
        <w:tc>
          <w:tcPr>
            <w:tcW w:w="1850" w:type="dxa"/>
            <w:tcBorders>
              <w:top w:val="single" w:sz="4" w:space="0" w:color="auto"/>
              <w:left w:val="single" w:sz="4" w:space="0" w:color="auto"/>
              <w:bottom w:val="single" w:sz="4" w:space="0" w:color="auto"/>
              <w:right w:val="single" w:sz="4" w:space="0" w:color="auto"/>
            </w:tcBorders>
            <w:vAlign w:val="center"/>
            <w:hideMark/>
          </w:tcPr>
          <w:p w:rsidR="00636432" w:rsidRPr="00514E76" w:rsidRDefault="00514E76" w:rsidP="00947EA8">
            <w:pPr>
              <w:spacing w:after="60"/>
              <w:rPr>
                <w:rFonts w:ascii="Arial" w:hAnsi="Arial" w:cs="Arial"/>
                <w:b/>
                <w:sz w:val="28"/>
                <w:szCs w:val="18"/>
                <w:vertAlign w:val="superscript"/>
              </w:rPr>
            </w:pPr>
            <w:r>
              <w:rPr>
                <w:rFonts w:ascii="Arial" w:hAnsi="Arial" w:cs="Arial"/>
                <w:b/>
                <w:sz w:val="28"/>
                <w:szCs w:val="18"/>
                <w:vertAlign w:val="superscript"/>
              </w:rPr>
              <w:t>L</w:t>
            </w:r>
            <w:r w:rsidR="00636432" w:rsidRPr="00514E76">
              <w:rPr>
                <w:rFonts w:ascii="Arial" w:hAnsi="Arial" w:cs="Arial"/>
                <w:b/>
                <w:sz w:val="28"/>
                <w:szCs w:val="18"/>
                <w:vertAlign w:val="superscript"/>
              </w:rPr>
              <w:t>ocation</w:t>
            </w: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514E76" w:rsidRDefault="00514E76" w:rsidP="00947EA8">
            <w:pPr>
              <w:spacing w:after="60"/>
              <w:rPr>
                <w:rFonts w:ascii="Arial" w:hAnsi="Arial" w:cs="Arial"/>
                <w:b/>
                <w:sz w:val="28"/>
                <w:szCs w:val="18"/>
                <w:vertAlign w:val="superscript"/>
              </w:rPr>
            </w:pPr>
            <w:r>
              <w:rPr>
                <w:rFonts w:ascii="Arial" w:hAnsi="Arial" w:cs="Arial"/>
                <w:b/>
                <w:sz w:val="28"/>
                <w:szCs w:val="18"/>
                <w:vertAlign w:val="superscript"/>
              </w:rPr>
              <w:t>P</w:t>
            </w:r>
            <w:r w:rsidR="00636432" w:rsidRPr="00514E76">
              <w:rPr>
                <w:rFonts w:ascii="Arial" w:hAnsi="Arial" w:cs="Arial"/>
                <w:b/>
                <w:sz w:val="28"/>
                <w:szCs w:val="18"/>
                <w:vertAlign w:val="superscript"/>
              </w:rPr>
              <w:t>roperty</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514E76" w:rsidRDefault="00514E76" w:rsidP="00947EA8">
            <w:pPr>
              <w:spacing w:after="60"/>
              <w:rPr>
                <w:rFonts w:ascii="Arial" w:hAnsi="Arial" w:cs="Arial"/>
                <w:b/>
                <w:sz w:val="28"/>
                <w:szCs w:val="18"/>
                <w:vertAlign w:val="superscript"/>
              </w:rPr>
            </w:pPr>
            <w:r>
              <w:rPr>
                <w:rFonts w:ascii="Arial" w:hAnsi="Arial" w:cs="Arial"/>
                <w:b/>
                <w:sz w:val="28"/>
                <w:szCs w:val="18"/>
                <w:vertAlign w:val="superscript"/>
              </w:rPr>
              <w:t>O</w:t>
            </w:r>
            <w:r w:rsidR="00636432" w:rsidRPr="00514E76">
              <w:rPr>
                <w:rFonts w:ascii="Arial" w:hAnsi="Arial" w:cs="Arial"/>
                <w:b/>
                <w:sz w:val="28"/>
                <w:szCs w:val="18"/>
                <w:vertAlign w:val="superscript"/>
              </w:rPr>
              <w:t>ccupation</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514E76" w:rsidRDefault="00636432" w:rsidP="00947EA8">
            <w:pPr>
              <w:spacing w:after="60"/>
              <w:rPr>
                <w:rFonts w:ascii="Arial" w:hAnsi="Arial" w:cs="Arial"/>
                <w:b/>
                <w:sz w:val="28"/>
                <w:szCs w:val="18"/>
                <w:vertAlign w:val="superscript"/>
              </w:rPr>
            </w:pPr>
            <w:r w:rsidRPr="00514E76">
              <w:rPr>
                <w:rFonts w:ascii="Arial" w:hAnsi="Arial" w:cs="Arial"/>
                <w:b/>
                <w:sz w:val="28"/>
                <w:szCs w:val="18"/>
                <w:vertAlign w:val="superscript"/>
              </w:rPr>
              <w:t>Occupant</w:t>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514E76" w:rsidRDefault="00636432" w:rsidP="00947EA8">
            <w:pPr>
              <w:spacing w:after="60"/>
              <w:rPr>
                <w:rFonts w:ascii="Arial" w:hAnsi="Arial" w:cs="Arial"/>
                <w:b/>
                <w:sz w:val="28"/>
                <w:szCs w:val="18"/>
                <w:vertAlign w:val="superscript"/>
              </w:rPr>
            </w:pPr>
            <w:r w:rsidRPr="00514E76">
              <w:rPr>
                <w:rFonts w:ascii="Arial" w:hAnsi="Arial" w:cs="Arial"/>
                <w:b/>
                <w:sz w:val="28"/>
                <w:szCs w:val="18"/>
                <w:vertAlign w:val="superscript"/>
              </w:rPr>
              <w:t>Zone</w:t>
            </w:r>
          </w:p>
        </w:tc>
        <w:tc>
          <w:tcPr>
            <w:tcW w:w="992" w:type="dxa"/>
            <w:tcBorders>
              <w:top w:val="single" w:sz="4" w:space="0" w:color="auto"/>
              <w:left w:val="single" w:sz="4" w:space="0" w:color="auto"/>
              <w:bottom w:val="single" w:sz="4" w:space="0" w:color="auto"/>
              <w:right w:val="single" w:sz="4" w:space="0" w:color="auto"/>
            </w:tcBorders>
            <w:vAlign w:val="center"/>
            <w:hideMark/>
          </w:tcPr>
          <w:p w:rsidR="00636432" w:rsidRPr="00514E76" w:rsidRDefault="00514E76" w:rsidP="00947EA8">
            <w:pPr>
              <w:spacing w:after="60"/>
              <w:rPr>
                <w:rFonts w:ascii="Arial" w:hAnsi="Arial" w:cs="Arial"/>
                <w:b/>
                <w:sz w:val="28"/>
                <w:szCs w:val="18"/>
                <w:vertAlign w:val="superscript"/>
              </w:rPr>
            </w:pPr>
            <w:r>
              <w:rPr>
                <w:rFonts w:ascii="Arial" w:hAnsi="Arial" w:cs="Arial"/>
                <w:b/>
                <w:sz w:val="28"/>
                <w:szCs w:val="18"/>
                <w:vertAlign w:val="superscript"/>
              </w:rPr>
              <w:t>H</w:t>
            </w:r>
            <w:r w:rsidR="00636432" w:rsidRPr="00514E76">
              <w:rPr>
                <w:rFonts w:ascii="Arial" w:hAnsi="Arial" w:cs="Arial"/>
                <w:b/>
                <w:sz w:val="28"/>
                <w:szCs w:val="18"/>
                <w:vertAlign w:val="superscript"/>
              </w:rPr>
              <w:t>eritage</w:t>
            </w:r>
          </w:p>
        </w:tc>
      </w:tr>
      <w:tr w:rsidR="00947EA8" w:rsidTr="00947EA8">
        <w:trPr>
          <w:trHeight w:val="557"/>
        </w:trPr>
        <w:tc>
          <w:tcPr>
            <w:tcW w:w="1850"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514E76" w:rsidP="00947EA8">
            <w:pPr>
              <w:spacing w:after="60"/>
              <w:rPr>
                <w:rFonts w:ascii="Arial" w:hAnsi="Arial" w:cs="Arial"/>
                <w:sz w:val="28"/>
                <w:szCs w:val="18"/>
                <w:vertAlign w:val="superscript"/>
              </w:rPr>
            </w:pPr>
            <w:r w:rsidRPr="00947EA8">
              <w:rPr>
                <w:rFonts w:ascii="Arial" w:hAnsi="Arial" w:cs="Arial"/>
                <w:sz w:val="28"/>
                <w:szCs w:val="18"/>
                <w:vertAlign w:val="superscript"/>
              </w:rPr>
              <w:t xml:space="preserve">217 Johnston Street </w:t>
            </w:r>
            <w:r w:rsidR="00636432" w:rsidRPr="00947EA8">
              <w:rPr>
                <w:rFonts w:ascii="Arial" w:hAnsi="Arial" w:cs="Arial"/>
                <w:sz w:val="28"/>
                <w:szCs w:val="18"/>
                <w:vertAlign w:val="superscript"/>
              </w:rPr>
              <w:t>cnr. Hoddle Street.</w:t>
            </w: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showroom</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F</w:t>
            </w:r>
            <w:r w:rsidR="00636432" w:rsidRPr="00947EA8">
              <w:rPr>
                <w:rFonts w:ascii="Arial" w:hAnsi="Arial" w:cs="Arial"/>
                <w:sz w:val="28"/>
                <w:szCs w:val="18"/>
                <w:vertAlign w:val="superscript"/>
              </w:rPr>
              <w:t>ormer bank then tool box sales</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Vacant</w:t>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B1Z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r w:rsidR="00947EA8" w:rsidTr="00947EA8">
        <w:trPr>
          <w:trHeight w:val="890"/>
        </w:trPr>
        <w:tc>
          <w:tcPr>
            <w:tcW w:w="1850"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246 Hoddle Street, cnr. Johnston Street</w:t>
            </w:r>
            <w:r w:rsidRPr="00947EA8">
              <w:rPr>
                <w:rFonts w:ascii="Arial" w:hAnsi="Arial" w:cs="Arial"/>
                <w:sz w:val="28"/>
                <w:szCs w:val="18"/>
                <w:vertAlign w:val="superscript"/>
              </w:rPr>
              <w:br/>
            </w: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 storey shop &amp; dwelling</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success fee lawyer former marble veneer showroom</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Going to Court</w:t>
            </w:r>
            <w:r w:rsidRPr="00947EA8">
              <w:rPr>
                <w:rFonts w:ascii="Arial" w:hAnsi="Arial" w:cs="Arial"/>
                <w:sz w:val="28"/>
                <w:szCs w:val="18"/>
                <w:vertAlign w:val="superscript"/>
              </w:rPr>
              <w:br/>
              <w:t>former Architectural Stone</w:t>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B1Z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r w:rsidR="00947EA8" w:rsidTr="00947EA8">
        <w:trPr>
          <w:trHeight w:val="530"/>
        </w:trPr>
        <w:tc>
          <w:tcPr>
            <w:tcW w:w="1850"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234 Hoddle Street</w:t>
            </w: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warehouse</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tyre sales and  repairs</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Collingwood Tyre and Brake</w:t>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B3Z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r w:rsidR="00947EA8" w:rsidTr="00947EA8">
        <w:trPr>
          <w:trHeight w:val="233"/>
        </w:trPr>
        <w:tc>
          <w:tcPr>
            <w:tcW w:w="1850"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238 Hoddle Street</w:t>
            </w: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single storey store</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Electrical supplies, sales</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Middy’s Electrical</w:t>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B3Z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r w:rsidR="00947EA8" w:rsidTr="00947EA8">
        <w:trPr>
          <w:trHeight w:val="233"/>
        </w:trPr>
        <w:tc>
          <w:tcPr>
            <w:tcW w:w="1850"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248 Hoddle Street</w:t>
            </w: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single storey store</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Prosthetic sales</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Wick’s Magnetic Pain Relief Devices</w:t>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B3Z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r w:rsidR="00947EA8" w:rsidTr="00947EA8">
        <w:trPr>
          <w:trHeight w:val="557"/>
        </w:trPr>
        <w:tc>
          <w:tcPr>
            <w:tcW w:w="1850"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250 Hoddle Street</w:t>
            </w: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 storey showroom/ office</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Lighting sales</w:t>
            </w:r>
            <w:r w:rsidRPr="00947EA8">
              <w:rPr>
                <w:rFonts w:ascii="Arial" w:hAnsi="Arial" w:cs="Arial"/>
                <w:sz w:val="28"/>
                <w:szCs w:val="18"/>
                <w:vertAlign w:val="superscript"/>
              </w:rPr>
              <w:br/>
              <w:t>Travel service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Beacon Lighting,</w:t>
            </w:r>
            <w:r w:rsidRPr="00947EA8">
              <w:rPr>
                <w:rFonts w:ascii="Arial" w:hAnsi="Arial" w:cs="Arial"/>
                <w:sz w:val="28"/>
                <w:szCs w:val="18"/>
                <w:vertAlign w:val="superscript"/>
              </w:rPr>
              <w:br/>
              <w:t xml:space="preserve"> STA Travel</w:t>
            </w:r>
            <w:r w:rsidRPr="00947EA8">
              <w:rPr>
                <w:rFonts w:ascii="Arial" w:hAnsi="Arial" w:cs="Arial"/>
                <w:sz w:val="28"/>
                <w:szCs w:val="18"/>
                <w:vertAlign w:val="superscript"/>
              </w:rPr>
              <w:br/>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B3Z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r w:rsidR="00947EA8" w:rsidTr="00947EA8">
        <w:trPr>
          <w:trHeight w:val="530"/>
        </w:trPr>
        <w:tc>
          <w:tcPr>
            <w:tcW w:w="1850"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open</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C</w:t>
            </w:r>
            <w:r w:rsidR="00636432" w:rsidRPr="00947EA8">
              <w:rPr>
                <w:rFonts w:ascii="Arial" w:hAnsi="Arial" w:cs="Arial"/>
                <w:sz w:val="28"/>
                <w:szCs w:val="18"/>
                <w:vertAlign w:val="superscript"/>
              </w:rPr>
              <w:t>onvenience store &amp; petrol station</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Coles Express</w:t>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B3Z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r w:rsidR="00947EA8" w:rsidTr="00947EA8">
        <w:trPr>
          <w:trHeight w:val="886"/>
        </w:trPr>
        <w:tc>
          <w:tcPr>
            <w:tcW w:w="1850"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294-296 Hoddle Street</w:t>
            </w: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Single story warehouse/ showroom</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Bathroom supplies</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Swan Hardware &amp; Homebase</w:t>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B3Z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r w:rsidR="00947EA8" w:rsidTr="00947EA8">
        <w:trPr>
          <w:trHeight w:val="530"/>
        </w:trPr>
        <w:tc>
          <w:tcPr>
            <w:tcW w:w="1850"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310 Hoddle Street</w:t>
            </w: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Single story warehouse/ showroom</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Machine parts sales</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proofErr w:type="spellStart"/>
            <w:r w:rsidRPr="00947EA8">
              <w:rPr>
                <w:rFonts w:ascii="Arial" w:hAnsi="Arial" w:cs="Arial"/>
                <w:sz w:val="28"/>
                <w:szCs w:val="18"/>
                <w:vertAlign w:val="superscript"/>
              </w:rPr>
              <w:t>Kaemo</w:t>
            </w:r>
            <w:proofErr w:type="spellEnd"/>
            <w:r w:rsidRPr="00947EA8">
              <w:rPr>
                <w:rFonts w:ascii="Arial" w:hAnsi="Arial" w:cs="Arial"/>
                <w:sz w:val="28"/>
                <w:szCs w:val="18"/>
                <w:vertAlign w:val="superscript"/>
              </w:rPr>
              <w:t xml:space="preserve"> </w:t>
            </w:r>
            <w:proofErr w:type="spellStart"/>
            <w:r w:rsidRPr="00947EA8">
              <w:rPr>
                <w:rFonts w:ascii="Arial" w:hAnsi="Arial" w:cs="Arial"/>
                <w:sz w:val="28"/>
                <w:szCs w:val="18"/>
                <w:vertAlign w:val="superscript"/>
              </w:rPr>
              <w:t>Ind.P</w:t>
            </w:r>
            <w:proofErr w:type="spellEnd"/>
            <w:r w:rsidRPr="00947EA8">
              <w:rPr>
                <w:rFonts w:ascii="Arial" w:hAnsi="Arial" w:cs="Arial"/>
                <w:sz w:val="28"/>
                <w:szCs w:val="18"/>
                <w:vertAlign w:val="superscript"/>
              </w:rPr>
              <w:t>/L</w:t>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B3Z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r w:rsidR="00947EA8" w:rsidTr="00947EA8">
        <w:trPr>
          <w:trHeight w:val="530"/>
        </w:trPr>
        <w:tc>
          <w:tcPr>
            <w:tcW w:w="1850"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316 Hoddle Street</w:t>
            </w: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Single story warehouse/ showroom</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W</w:t>
            </w:r>
            <w:r w:rsidR="00636432" w:rsidRPr="00947EA8">
              <w:rPr>
                <w:rFonts w:ascii="Arial" w:hAnsi="Arial" w:cs="Arial"/>
                <w:sz w:val="28"/>
                <w:szCs w:val="18"/>
                <w:vertAlign w:val="superscript"/>
              </w:rPr>
              <w:t>icker furniture sales</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Stylish Outdoors P/L</w:t>
            </w:r>
            <w:r w:rsidRPr="00947EA8">
              <w:rPr>
                <w:rFonts w:ascii="Arial" w:hAnsi="Arial" w:cs="Arial"/>
                <w:sz w:val="28"/>
                <w:szCs w:val="18"/>
                <w:vertAlign w:val="superscript"/>
              </w:rPr>
              <w:br/>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B3Z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r w:rsidR="00947EA8" w:rsidTr="00947EA8">
        <w:trPr>
          <w:trHeight w:val="530"/>
        </w:trPr>
        <w:tc>
          <w:tcPr>
            <w:tcW w:w="1850"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Concrete batching plant</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Concrete Products</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Pioneer</w:t>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B3Z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r w:rsidR="00947EA8" w:rsidTr="00947EA8">
        <w:trPr>
          <w:trHeight w:val="305"/>
        </w:trPr>
        <w:tc>
          <w:tcPr>
            <w:tcW w:w="1850"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324-328 Hoddle Street</w:t>
            </w:r>
          </w:p>
        </w:tc>
        <w:tc>
          <w:tcPr>
            <w:tcW w:w="1531"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Warehouses</w:t>
            </w:r>
          </w:p>
        </w:tc>
        <w:tc>
          <w:tcPr>
            <w:tcW w:w="201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514E76" w:rsidP="00947EA8">
            <w:pPr>
              <w:spacing w:after="60"/>
              <w:rPr>
                <w:rFonts w:ascii="Arial" w:hAnsi="Arial" w:cs="Arial"/>
                <w:sz w:val="28"/>
                <w:szCs w:val="18"/>
                <w:vertAlign w:val="superscript"/>
              </w:rPr>
            </w:pPr>
            <w:r w:rsidRPr="00947EA8">
              <w:rPr>
                <w:rFonts w:ascii="Arial" w:hAnsi="Arial" w:cs="Arial"/>
                <w:sz w:val="28"/>
                <w:szCs w:val="18"/>
                <w:vertAlign w:val="superscript"/>
              </w:rPr>
              <w:t>Self-storage</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proofErr w:type="spellStart"/>
            <w:r w:rsidRPr="00947EA8">
              <w:rPr>
                <w:rFonts w:ascii="Arial" w:hAnsi="Arial" w:cs="Arial"/>
                <w:sz w:val="28"/>
                <w:szCs w:val="18"/>
                <w:vertAlign w:val="superscript"/>
              </w:rPr>
              <w:t>Kennards</w:t>
            </w:r>
            <w:proofErr w:type="spellEnd"/>
            <w:r w:rsidRPr="00947EA8">
              <w:rPr>
                <w:rFonts w:ascii="Arial" w:hAnsi="Arial" w:cs="Arial"/>
                <w:sz w:val="28"/>
                <w:szCs w:val="18"/>
                <w:vertAlign w:val="superscript"/>
              </w:rPr>
              <w:t xml:space="preserve"> Self Storage</w:t>
            </w:r>
          </w:p>
        </w:tc>
        <w:tc>
          <w:tcPr>
            <w:tcW w:w="709" w:type="dxa"/>
            <w:tcBorders>
              <w:top w:val="single" w:sz="4" w:space="0" w:color="auto"/>
              <w:left w:val="single" w:sz="4" w:space="0" w:color="auto"/>
              <w:bottom w:val="single" w:sz="4" w:space="0" w:color="auto"/>
              <w:right w:val="single" w:sz="4" w:space="0" w:color="auto"/>
            </w:tcBorders>
            <w:vAlign w:val="center"/>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B3Z?</w:t>
            </w:r>
          </w:p>
        </w:tc>
        <w:tc>
          <w:tcPr>
            <w:tcW w:w="992" w:type="dxa"/>
            <w:tcBorders>
              <w:top w:val="single" w:sz="4" w:space="0" w:color="auto"/>
              <w:left w:val="single" w:sz="4" w:space="0" w:color="auto"/>
              <w:bottom w:val="single" w:sz="4" w:space="0" w:color="auto"/>
              <w:right w:val="single" w:sz="4" w:space="0" w:color="auto"/>
            </w:tcBorders>
            <w:vAlign w:val="center"/>
          </w:tcPr>
          <w:p w:rsidR="00636432" w:rsidRPr="00947EA8" w:rsidRDefault="00636432" w:rsidP="00947EA8">
            <w:pPr>
              <w:spacing w:after="60"/>
              <w:rPr>
                <w:rFonts w:ascii="Arial" w:hAnsi="Arial" w:cs="Arial"/>
                <w:sz w:val="28"/>
                <w:szCs w:val="18"/>
                <w:vertAlign w:val="superscript"/>
              </w:rPr>
            </w:pPr>
          </w:p>
        </w:tc>
      </w:tr>
    </w:tbl>
    <w:p w:rsidR="00947EA8" w:rsidRDefault="00947EA8" w:rsidP="00636432"/>
    <w:p w:rsidR="00636432" w:rsidRDefault="00947EA8" w:rsidP="00947EA8">
      <w:pPr>
        <w:pStyle w:val="Heading2"/>
        <w:numPr>
          <w:ilvl w:val="0"/>
          <w:numId w:val="9"/>
        </w:numPr>
      </w:pPr>
      <w:r>
        <w:lastRenderedPageBreak/>
        <w:t>Under-developed land Hoddle Street, Clifton Hill</w:t>
      </w:r>
    </w:p>
    <w:p w:rsidR="00947EA8" w:rsidRPr="00947EA8" w:rsidRDefault="00947EA8" w:rsidP="00947EA8"/>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1608"/>
        <w:gridCol w:w="1794"/>
        <w:gridCol w:w="2410"/>
        <w:gridCol w:w="850"/>
        <w:gridCol w:w="963"/>
      </w:tblGrid>
      <w:tr w:rsidR="00514E76" w:rsidTr="00947EA8">
        <w:trPr>
          <w:trHeight w:val="287"/>
        </w:trPr>
        <w:tc>
          <w:tcPr>
            <w:tcW w:w="1708"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Location</w:t>
            </w:r>
          </w:p>
        </w:tc>
        <w:tc>
          <w:tcPr>
            <w:tcW w:w="1608"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Property</w:t>
            </w:r>
          </w:p>
        </w:tc>
        <w:tc>
          <w:tcPr>
            <w:tcW w:w="1794"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Occupation</w:t>
            </w:r>
          </w:p>
        </w:tc>
        <w:tc>
          <w:tcPr>
            <w:tcW w:w="2410"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Occupant</w:t>
            </w:r>
          </w:p>
        </w:tc>
        <w:tc>
          <w:tcPr>
            <w:tcW w:w="850"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Zone</w:t>
            </w:r>
          </w:p>
        </w:tc>
        <w:tc>
          <w:tcPr>
            <w:tcW w:w="963"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Heritage</w:t>
            </w:r>
          </w:p>
        </w:tc>
      </w:tr>
      <w:tr w:rsidR="00636432" w:rsidTr="00947EA8">
        <w:trPr>
          <w:trHeight w:val="197"/>
        </w:trPr>
        <w:tc>
          <w:tcPr>
            <w:tcW w:w="1708"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362 Hoddle Street</w:t>
            </w:r>
          </w:p>
        </w:tc>
        <w:tc>
          <w:tcPr>
            <w:tcW w:w="1608"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W</w:t>
            </w:r>
            <w:r w:rsidR="00636432" w:rsidRPr="00947EA8">
              <w:rPr>
                <w:rFonts w:ascii="Arial" w:hAnsi="Arial" w:cs="Arial"/>
                <w:sz w:val="28"/>
                <w:szCs w:val="18"/>
                <w:vertAlign w:val="superscript"/>
              </w:rPr>
              <w:t>arehouse</w:t>
            </w:r>
          </w:p>
        </w:tc>
        <w:tc>
          <w:tcPr>
            <w:tcW w:w="1794"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P</w:t>
            </w:r>
            <w:r w:rsidR="00636432" w:rsidRPr="00947EA8">
              <w:rPr>
                <w:rFonts w:ascii="Arial" w:hAnsi="Arial" w:cs="Arial"/>
                <w:sz w:val="28"/>
                <w:szCs w:val="18"/>
                <w:vertAlign w:val="superscript"/>
              </w:rPr>
              <w:t>anel beaters</w:t>
            </w:r>
          </w:p>
        </w:tc>
        <w:tc>
          <w:tcPr>
            <w:tcW w:w="241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Luxury Auto Body</w:t>
            </w: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B4Z</w:t>
            </w: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r w:rsidR="00636432" w:rsidTr="00947EA8">
        <w:trPr>
          <w:trHeight w:val="440"/>
        </w:trPr>
        <w:tc>
          <w:tcPr>
            <w:tcW w:w="1708"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372-374 Hoddle Street</w:t>
            </w:r>
          </w:p>
        </w:tc>
        <w:tc>
          <w:tcPr>
            <w:tcW w:w="1608"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S</w:t>
            </w:r>
            <w:r w:rsidR="00636432" w:rsidRPr="00947EA8">
              <w:rPr>
                <w:rFonts w:ascii="Arial" w:hAnsi="Arial" w:cs="Arial"/>
                <w:sz w:val="28"/>
                <w:szCs w:val="18"/>
                <w:vertAlign w:val="superscript"/>
              </w:rPr>
              <w:t>howroom</w:t>
            </w:r>
          </w:p>
        </w:tc>
        <w:tc>
          <w:tcPr>
            <w:tcW w:w="1794"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S</w:t>
            </w:r>
            <w:r w:rsidR="00636432" w:rsidRPr="00947EA8">
              <w:rPr>
                <w:rFonts w:ascii="Arial" w:hAnsi="Arial" w:cs="Arial"/>
                <w:sz w:val="28"/>
                <w:szCs w:val="18"/>
                <w:vertAlign w:val="superscript"/>
              </w:rPr>
              <w:t>hop-fittings sales</w:t>
            </w:r>
          </w:p>
        </w:tc>
        <w:tc>
          <w:tcPr>
            <w:tcW w:w="241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One Group Retail Experience</w:t>
            </w: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B4Z</w:t>
            </w: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r w:rsidR="00636432" w:rsidTr="00947EA8">
        <w:trPr>
          <w:trHeight w:val="512"/>
        </w:trPr>
        <w:tc>
          <w:tcPr>
            <w:tcW w:w="1708"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420 Hoddle Street</w:t>
            </w:r>
          </w:p>
        </w:tc>
        <w:tc>
          <w:tcPr>
            <w:tcW w:w="1608"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T</w:t>
            </w:r>
            <w:r w:rsidR="00636432" w:rsidRPr="00947EA8">
              <w:rPr>
                <w:rFonts w:ascii="Arial" w:hAnsi="Arial" w:cs="Arial"/>
                <w:sz w:val="28"/>
                <w:szCs w:val="18"/>
                <w:vertAlign w:val="superscript"/>
              </w:rPr>
              <w:t>imber yard</w:t>
            </w:r>
          </w:p>
        </w:tc>
        <w:tc>
          <w:tcPr>
            <w:tcW w:w="1794"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T</w:t>
            </w:r>
            <w:r w:rsidR="00636432" w:rsidRPr="00947EA8">
              <w:rPr>
                <w:rFonts w:ascii="Arial" w:hAnsi="Arial" w:cs="Arial"/>
                <w:sz w:val="28"/>
                <w:szCs w:val="18"/>
                <w:vertAlign w:val="superscript"/>
              </w:rPr>
              <w:t>imber &amp; hardware sales</w:t>
            </w:r>
          </w:p>
        </w:tc>
        <w:tc>
          <w:tcPr>
            <w:tcW w:w="241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De Mar</w:t>
            </w: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B4Z</w:t>
            </w: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r w:rsidR="00636432" w:rsidTr="00947EA8">
        <w:trPr>
          <w:trHeight w:val="305"/>
        </w:trPr>
        <w:tc>
          <w:tcPr>
            <w:tcW w:w="1708"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422 Hoddle Street</w:t>
            </w:r>
          </w:p>
        </w:tc>
        <w:tc>
          <w:tcPr>
            <w:tcW w:w="1608"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C</w:t>
            </w:r>
            <w:r w:rsidR="00636432" w:rsidRPr="00947EA8">
              <w:rPr>
                <w:rFonts w:ascii="Arial" w:hAnsi="Arial" w:cs="Arial"/>
                <w:sz w:val="28"/>
                <w:szCs w:val="18"/>
                <w:vertAlign w:val="superscript"/>
              </w:rPr>
              <w:t>onvenience store &amp; petrol station</w:t>
            </w:r>
          </w:p>
        </w:tc>
        <w:tc>
          <w:tcPr>
            <w:tcW w:w="1794"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c>
          <w:tcPr>
            <w:tcW w:w="241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Caltex 7/Eleven</w:t>
            </w:r>
          </w:p>
        </w:tc>
        <w:tc>
          <w:tcPr>
            <w:tcW w:w="850"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r w:rsidR="00636432" w:rsidTr="00947EA8">
        <w:trPr>
          <w:trHeight w:val="305"/>
        </w:trPr>
        <w:tc>
          <w:tcPr>
            <w:tcW w:w="1708"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501-511 Hoddle Street</w:t>
            </w:r>
          </w:p>
        </w:tc>
        <w:tc>
          <w:tcPr>
            <w:tcW w:w="1608"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 storey office</w:t>
            </w:r>
          </w:p>
        </w:tc>
        <w:tc>
          <w:tcPr>
            <w:tcW w:w="1794"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C</w:t>
            </w:r>
            <w:r w:rsidR="00636432" w:rsidRPr="00947EA8">
              <w:rPr>
                <w:rFonts w:ascii="Arial" w:hAnsi="Arial" w:cs="Arial"/>
                <w:sz w:val="28"/>
                <w:szCs w:val="18"/>
                <w:vertAlign w:val="superscript"/>
              </w:rPr>
              <w:t>ommunity mental health service</w:t>
            </w:r>
          </w:p>
        </w:tc>
        <w:tc>
          <w:tcPr>
            <w:tcW w:w="241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 xml:space="preserve">Paul Mullin Centre </w:t>
            </w: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MUZ</w:t>
            </w: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r w:rsidR="00636432" w:rsidTr="00947EA8">
        <w:trPr>
          <w:trHeight w:val="827"/>
        </w:trPr>
        <w:tc>
          <w:tcPr>
            <w:tcW w:w="1708"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rear of  249-261 Queens Parade</w:t>
            </w:r>
          </w:p>
        </w:tc>
        <w:tc>
          <w:tcPr>
            <w:tcW w:w="1608"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V</w:t>
            </w:r>
            <w:r w:rsidR="00636432" w:rsidRPr="00947EA8">
              <w:rPr>
                <w:rFonts w:ascii="Arial" w:hAnsi="Arial" w:cs="Arial"/>
                <w:sz w:val="28"/>
                <w:szCs w:val="18"/>
                <w:vertAlign w:val="superscript"/>
              </w:rPr>
              <w:t>acant land</w:t>
            </w:r>
          </w:p>
        </w:tc>
        <w:tc>
          <w:tcPr>
            <w:tcW w:w="1794"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D</w:t>
            </w:r>
            <w:r w:rsidR="00636432" w:rsidRPr="00947EA8">
              <w:rPr>
                <w:rFonts w:ascii="Arial" w:hAnsi="Arial" w:cs="Arial"/>
                <w:sz w:val="28"/>
                <w:szCs w:val="18"/>
                <w:vertAlign w:val="superscript"/>
              </w:rPr>
              <w:t>rive- in customer pick-up</w:t>
            </w:r>
          </w:p>
        </w:tc>
        <w:tc>
          <w:tcPr>
            <w:tcW w:w="241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Bourne bathroom and kitchen Centre</w:t>
            </w: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MUZ</w:t>
            </w: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r w:rsidR="00636432" w:rsidTr="00947EA8">
        <w:trPr>
          <w:trHeight w:val="485"/>
        </w:trPr>
        <w:tc>
          <w:tcPr>
            <w:tcW w:w="1708"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rear of  265 Queens Parade</w:t>
            </w:r>
          </w:p>
        </w:tc>
        <w:tc>
          <w:tcPr>
            <w:tcW w:w="1608"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V</w:t>
            </w:r>
            <w:r w:rsidR="00636432" w:rsidRPr="00947EA8">
              <w:rPr>
                <w:rFonts w:ascii="Arial" w:hAnsi="Arial" w:cs="Arial"/>
                <w:sz w:val="28"/>
                <w:szCs w:val="18"/>
                <w:vertAlign w:val="superscript"/>
              </w:rPr>
              <w:t>acant land</w:t>
            </w:r>
          </w:p>
        </w:tc>
        <w:tc>
          <w:tcPr>
            <w:tcW w:w="1794"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O</w:t>
            </w:r>
            <w:r w:rsidR="00636432" w:rsidRPr="00947EA8">
              <w:rPr>
                <w:rFonts w:ascii="Arial" w:hAnsi="Arial" w:cs="Arial"/>
                <w:sz w:val="28"/>
                <w:szCs w:val="18"/>
                <w:vertAlign w:val="superscript"/>
              </w:rPr>
              <w:t>n-site parking</w:t>
            </w:r>
          </w:p>
        </w:tc>
        <w:tc>
          <w:tcPr>
            <w:tcW w:w="241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former Aircraft Association of Australia</w:t>
            </w:r>
          </w:p>
        </w:tc>
        <w:tc>
          <w:tcPr>
            <w:tcW w:w="850"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r w:rsidR="00636432" w:rsidTr="00947EA8">
        <w:trPr>
          <w:trHeight w:val="485"/>
        </w:trPr>
        <w:tc>
          <w:tcPr>
            <w:tcW w:w="1708"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rear of 269 Queens Parade</w:t>
            </w:r>
          </w:p>
        </w:tc>
        <w:tc>
          <w:tcPr>
            <w:tcW w:w="1608"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V</w:t>
            </w:r>
            <w:r w:rsidR="00636432" w:rsidRPr="00947EA8">
              <w:rPr>
                <w:rFonts w:ascii="Arial" w:hAnsi="Arial" w:cs="Arial"/>
                <w:sz w:val="28"/>
                <w:szCs w:val="18"/>
                <w:vertAlign w:val="superscript"/>
              </w:rPr>
              <w:t>acant land</w:t>
            </w:r>
          </w:p>
        </w:tc>
        <w:tc>
          <w:tcPr>
            <w:tcW w:w="1794"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O</w:t>
            </w:r>
            <w:r w:rsidR="00636432" w:rsidRPr="00947EA8">
              <w:rPr>
                <w:rFonts w:ascii="Arial" w:hAnsi="Arial" w:cs="Arial"/>
                <w:sz w:val="28"/>
                <w:szCs w:val="18"/>
                <w:vertAlign w:val="superscript"/>
              </w:rPr>
              <w:t>n-site parking</w:t>
            </w:r>
          </w:p>
        </w:tc>
        <w:tc>
          <w:tcPr>
            <w:tcW w:w="241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Intelligent Insurance</w:t>
            </w:r>
          </w:p>
        </w:tc>
        <w:tc>
          <w:tcPr>
            <w:tcW w:w="850"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r w:rsidR="00636432" w:rsidTr="00947EA8">
        <w:trPr>
          <w:trHeight w:val="485"/>
        </w:trPr>
        <w:tc>
          <w:tcPr>
            <w:tcW w:w="1708"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Hoddle Street cnr. of 267-269 Queens Parade</w:t>
            </w:r>
          </w:p>
        </w:tc>
        <w:tc>
          <w:tcPr>
            <w:tcW w:w="1608"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Single storey office</w:t>
            </w:r>
          </w:p>
        </w:tc>
        <w:tc>
          <w:tcPr>
            <w:tcW w:w="1794"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Insurance broker</w:t>
            </w:r>
          </w:p>
        </w:tc>
        <w:tc>
          <w:tcPr>
            <w:tcW w:w="241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Intelligent Insurance</w:t>
            </w: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MUZ</w:t>
            </w: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bl>
    <w:p w:rsidR="00514E76" w:rsidRDefault="00514E76"/>
    <w:p w:rsidR="00514E76" w:rsidRDefault="00514E76">
      <w:r>
        <w:br w:type="page"/>
      </w:r>
    </w:p>
    <w:p w:rsidR="00514E76" w:rsidRDefault="00947EA8" w:rsidP="00947EA8">
      <w:pPr>
        <w:pStyle w:val="Heading2"/>
        <w:numPr>
          <w:ilvl w:val="0"/>
          <w:numId w:val="9"/>
        </w:numPr>
        <w:rPr>
          <w:rFonts w:ascii="Arial" w:hAnsi="Arial" w:cs="Arial"/>
          <w:sz w:val="18"/>
          <w:szCs w:val="18"/>
        </w:rPr>
      </w:pPr>
      <w:r>
        <w:lastRenderedPageBreak/>
        <w:t>Under-developed land Hoddle Street, North Fitzroy</w:t>
      </w:r>
    </w:p>
    <w:p w:rsidR="00947EA8" w:rsidRPr="00947EA8" w:rsidRDefault="00947EA8" w:rsidP="00947EA8"/>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1650"/>
        <w:gridCol w:w="2503"/>
        <w:gridCol w:w="1701"/>
        <w:gridCol w:w="850"/>
        <w:gridCol w:w="963"/>
      </w:tblGrid>
      <w:tr w:rsidR="00514E76" w:rsidTr="00947EA8">
        <w:trPr>
          <w:trHeight w:val="287"/>
        </w:trPr>
        <w:tc>
          <w:tcPr>
            <w:tcW w:w="1666"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Location</w:t>
            </w:r>
          </w:p>
        </w:tc>
        <w:tc>
          <w:tcPr>
            <w:tcW w:w="1650"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Property</w:t>
            </w:r>
          </w:p>
        </w:tc>
        <w:tc>
          <w:tcPr>
            <w:tcW w:w="2503"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Occupation</w:t>
            </w:r>
          </w:p>
        </w:tc>
        <w:tc>
          <w:tcPr>
            <w:tcW w:w="1701"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Occupant</w:t>
            </w:r>
          </w:p>
        </w:tc>
        <w:tc>
          <w:tcPr>
            <w:tcW w:w="850"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Zone</w:t>
            </w:r>
          </w:p>
        </w:tc>
        <w:tc>
          <w:tcPr>
            <w:tcW w:w="963" w:type="dxa"/>
            <w:tcBorders>
              <w:top w:val="single" w:sz="4" w:space="0" w:color="auto"/>
              <w:left w:val="single" w:sz="4" w:space="0" w:color="auto"/>
              <w:bottom w:val="single" w:sz="4" w:space="0" w:color="auto"/>
              <w:right w:val="single" w:sz="4" w:space="0" w:color="auto"/>
            </w:tcBorders>
            <w:hideMark/>
          </w:tcPr>
          <w:p w:rsidR="00514E76" w:rsidRPr="00947EA8" w:rsidRDefault="00514E76" w:rsidP="00947EA8">
            <w:pPr>
              <w:spacing w:after="60"/>
              <w:rPr>
                <w:rFonts w:ascii="Arial" w:hAnsi="Arial" w:cs="Arial"/>
                <w:b/>
                <w:sz w:val="28"/>
                <w:szCs w:val="18"/>
                <w:vertAlign w:val="superscript"/>
              </w:rPr>
            </w:pPr>
            <w:r w:rsidRPr="00947EA8">
              <w:rPr>
                <w:rFonts w:ascii="Arial" w:hAnsi="Arial" w:cs="Arial"/>
                <w:b/>
                <w:sz w:val="28"/>
                <w:szCs w:val="18"/>
                <w:vertAlign w:val="superscript"/>
              </w:rPr>
              <w:t>Heritage</w:t>
            </w:r>
          </w:p>
        </w:tc>
      </w:tr>
      <w:tr w:rsidR="00636432" w:rsidTr="00947EA8">
        <w:trPr>
          <w:trHeight w:val="413"/>
        </w:trPr>
        <w:tc>
          <w:tcPr>
            <w:tcW w:w="1666"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263-265 Queens Parade</w:t>
            </w:r>
          </w:p>
        </w:tc>
        <w:tc>
          <w:tcPr>
            <w:tcW w:w="16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Single storey office</w:t>
            </w:r>
          </w:p>
        </w:tc>
        <w:tc>
          <w:tcPr>
            <w:tcW w:w="2503"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Vacant</w:t>
            </w:r>
          </w:p>
        </w:tc>
        <w:tc>
          <w:tcPr>
            <w:tcW w:w="1701"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former Aircraft Association of Australia</w:t>
            </w: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MUZ</w:t>
            </w: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r w:rsidR="00636432" w:rsidTr="00947EA8">
        <w:trPr>
          <w:trHeight w:val="827"/>
        </w:trPr>
        <w:tc>
          <w:tcPr>
            <w:tcW w:w="1666"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Hoddle Street &amp; 249-261 Queens Parade</w:t>
            </w:r>
          </w:p>
        </w:tc>
        <w:tc>
          <w:tcPr>
            <w:tcW w:w="16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Single storey warehouse</w:t>
            </w:r>
          </w:p>
        </w:tc>
        <w:tc>
          <w:tcPr>
            <w:tcW w:w="2503"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Bathroom supplies</w:t>
            </w:r>
          </w:p>
        </w:tc>
        <w:tc>
          <w:tcPr>
            <w:tcW w:w="1701"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Bourne bathroom and kitchen Centre</w:t>
            </w: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MUZ</w:t>
            </w: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r w:rsidR="00636432" w:rsidTr="00947EA8">
        <w:trPr>
          <w:trHeight w:val="755"/>
        </w:trPr>
        <w:tc>
          <w:tcPr>
            <w:tcW w:w="1666"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243-247 Queens Parade</w:t>
            </w:r>
          </w:p>
        </w:tc>
        <w:tc>
          <w:tcPr>
            <w:tcW w:w="1650"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 xml:space="preserve">Single storey </w:t>
            </w:r>
            <w:r w:rsidR="00636432" w:rsidRPr="00947EA8">
              <w:rPr>
                <w:rFonts w:ascii="Arial" w:hAnsi="Arial" w:cs="Arial"/>
                <w:sz w:val="28"/>
                <w:szCs w:val="18"/>
                <w:vertAlign w:val="superscript"/>
              </w:rPr>
              <w:t>warehouse</w:t>
            </w:r>
          </w:p>
        </w:tc>
        <w:tc>
          <w:tcPr>
            <w:tcW w:w="2503"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Subject to PLN14/0311</w:t>
            </w:r>
            <w:r w:rsidRPr="00947EA8">
              <w:rPr>
                <w:rFonts w:ascii="Arial" w:hAnsi="Arial" w:cs="Arial"/>
                <w:sz w:val="28"/>
                <w:szCs w:val="18"/>
                <w:vertAlign w:val="superscript"/>
              </w:rPr>
              <w:br/>
              <w:t>5-11 stories</w:t>
            </w:r>
            <w:r w:rsidRPr="00947EA8">
              <w:rPr>
                <w:rFonts w:ascii="Arial" w:hAnsi="Arial" w:cs="Arial"/>
                <w:sz w:val="28"/>
                <w:szCs w:val="18"/>
                <w:vertAlign w:val="superscript"/>
              </w:rPr>
              <w:br/>
              <w:t>76 dwellings</w:t>
            </w:r>
          </w:p>
        </w:tc>
        <w:tc>
          <w:tcPr>
            <w:tcW w:w="1701"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Retail, former shoe factory</w:t>
            </w: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MUZ</w:t>
            </w:r>
          </w:p>
        </w:tc>
        <w:tc>
          <w:tcPr>
            <w:tcW w:w="96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r>
      <w:tr w:rsidR="00636432" w:rsidTr="00947EA8">
        <w:trPr>
          <w:trHeight w:val="755"/>
        </w:trPr>
        <w:tc>
          <w:tcPr>
            <w:tcW w:w="1666"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217-241 Queens Parade</w:t>
            </w:r>
          </w:p>
        </w:tc>
        <w:tc>
          <w:tcPr>
            <w:tcW w:w="1650" w:type="dxa"/>
            <w:tcBorders>
              <w:top w:val="single" w:sz="4" w:space="0" w:color="auto"/>
              <w:left w:val="single" w:sz="4" w:space="0" w:color="auto"/>
              <w:bottom w:val="single" w:sz="4" w:space="0" w:color="auto"/>
              <w:right w:val="single" w:sz="4" w:space="0" w:color="auto"/>
            </w:tcBorders>
            <w:hideMark/>
          </w:tcPr>
          <w:p w:rsidR="00636432" w:rsidRPr="00947EA8" w:rsidRDefault="00947EA8" w:rsidP="00947EA8">
            <w:pPr>
              <w:spacing w:after="60"/>
              <w:rPr>
                <w:rFonts w:ascii="Arial" w:hAnsi="Arial" w:cs="Arial"/>
                <w:sz w:val="28"/>
                <w:szCs w:val="18"/>
                <w:vertAlign w:val="superscript"/>
              </w:rPr>
            </w:pPr>
            <w:r>
              <w:rPr>
                <w:rFonts w:ascii="Arial" w:hAnsi="Arial" w:cs="Arial"/>
                <w:sz w:val="28"/>
                <w:szCs w:val="18"/>
                <w:vertAlign w:val="superscript"/>
              </w:rPr>
              <w:t xml:space="preserve">three storey workshop </w:t>
            </w:r>
            <w:r w:rsidR="00636432" w:rsidRPr="00947EA8">
              <w:rPr>
                <w:rFonts w:ascii="Arial" w:hAnsi="Arial" w:cs="Arial"/>
                <w:sz w:val="28"/>
                <w:szCs w:val="18"/>
                <w:vertAlign w:val="superscript"/>
              </w:rPr>
              <w:t>part demolished</w:t>
            </w:r>
          </w:p>
        </w:tc>
        <w:tc>
          <w:tcPr>
            <w:tcW w:w="2503"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 xml:space="preserve">Subject to PLN12/888 </w:t>
            </w:r>
            <w:r w:rsidR="00947EA8">
              <w:rPr>
                <w:rFonts w:ascii="Arial" w:hAnsi="Arial" w:cs="Arial"/>
                <w:sz w:val="28"/>
                <w:szCs w:val="18"/>
                <w:vertAlign w:val="superscript"/>
              </w:rPr>
              <w:br/>
            </w:r>
            <w:r w:rsidRPr="00947EA8">
              <w:rPr>
                <w:rFonts w:ascii="Arial" w:hAnsi="Arial" w:cs="Arial"/>
                <w:sz w:val="28"/>
                <w:szCs w:val="18"/>
                <w:vertAlign w:val="superscript"/>
              </w:rPr>
              <w:t xml:space="preserve">VCAT P3189/2011, </w:t>
            </w:r>
            <w:r w:rsidR="00947EA8">
              <w:rPr>
                <w:rFonts w:ascii="Arial" w:hAnsi="Arial" w:cs="Arial"/>
                <w:sz w:val="28"/>
                <w:szCs w:val="18"/>
                <w:vertAlign w:val="superscript"/>
              </w:rPr>
              <w:br/>
              <w:t>Feb 2012</w:t>
            </w:r>
            <w:r w:rsidR="00947EA8">
              <w:rPr>
                <w:rFonts w:ascii="Arial" w:hAnsi="Arial" w:cs="Arial"/>
                <w:sz w:val="28"/>
                <w:szCs w:val="18"/>
                <w:vertAlign w:val="superscript"/>
              </w:rPr>
              <w:br/>
              <w:t>4 storeys,</w:t>
            </w:r>
            <w:r w:rsidRPr="00947EA8">
              <w:rPr>
                <w:rFonts w:ascii="Arial" w:hAnsi="Arial" w:cs="Arial"/>
                <w:sz w:val="28"/>
                <w:szCs w:val="18"/>
                <w:vertAlign w:val="superscript"/>
              </w:rPr>
              <w:t>12 dwellings,</w:t>
            </w:r>
            <w:r w:rsidRPr="00947EA8">
              <w:rPr>
                <w:rFonts w:ascii="Arial" w:hAnsi="Arial" w:cs="Arial"/>
                <w:sz w:val="28"/>
                <w:szCs w:val="18"/>
                <w:vertAlign w:val="superscript"/>
              </w:rPr>
              <w:br/>
              <w:t>3 retail &amp;</w:t>
            </w:r>
            <w:r w:rsidR="00947EA8">
              <w:rPr>
                <w:rFonts w:ascii="Arial" w:hAnsi="Arial" w:cs="Arial"/>
                <w:sz w:val="28"/>
                <w:szCs w:val="18"/>
                <w:vertAlign w:val="superscript"/>
              </w:rPr>
              <w:t xml:space="preserve"> </w:t>
            </w:r>
            <w:r w:rsidRPr="00947EA8">
              <w:rPr>
                <w:rFonts w:ascii="Arial" w:hAnsi="Arial" w:cs="Arial"/>
                <w:sz w:val="28"/>
                <w:szCs w:val="18"/>
                <w:vertAlign w:val="superscript"/>
              </w:rPr>
              <w:t>3 office</w:t>
            </w:r>
            <w:r w:rsidR="00947EA8">
              <w:rPr>
                <w:rFonts w:ascii="Arial" w:hAnsi="Arial" w:cs="Arial"/>
                <w:sz w:val="28"/>
                <w:szCs w:val="18"/>
                <w:vertAlign w:val="superscript"/>
              </w:rPr>
              <w:t>s</w:t>
            </w:r>
          </w:p>
        </w:tc>
        <w:tc>
          <w:tcPr>
            <w:tcW w:w="1701"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Vacant,</w:t>
            </w:r>
            <w:r w:rsidR="00947EA8">
              <w:rPr>
                <w:rFonts w:ascii="Arial" w:hAnsi="Arial" w:cs="Arial"/>
                <w:sz w:val="28"/>
                <w:szCs w:val="18"/>
                <w:vertAlign w:val="superscript"/>
              </w:rPr>
              <w:t xml:space="preserve"> </w:t>
            </w:r>
            <w:r w:rsidRPr="00947EA8">
              <w:rPr>
                <w:rFonts w:ascii="Arial" w:hAnsi="Arial" w:cs="Arial"/>
                <w:sz w:val="28"/>
                <w:szCs w:val="18"/>
                <w:vertAlign w:val="superscript"/>
              </w:rPr>
              <w:t xml:space="preserve"> former </w:t>
            </w:r>
            <w:proofErr w:type="spellStart"/>
            <w:r w:rsidRPr="00947EA8">
              <w:rPr>
                <w:rFonts w:ascii="Arial" w:hAnsi="Arial" w:cs="Arial"/>
                <w:sz w:val="28"/>
                <w:szCs w:val="18"/>
                <w:vertAlign w:val="superscript"/>
              </w:rPr>
              <w:t>Volksville</w:t>
            </w:r>
            <w:proofErr w:type="spellEnd"/>
            <w:r w:rsidRPr="00947EA8">
              <w:rPr>
                <w:rFonts w:ascii="Arial" w:hAnsi="Arial" w:cs="Arial"/>
                <w:sz w:val="28"/>
                <w:szCs w:val="18"/>
                <w:vertAlign w:val="superscript"/>
              </w:rPr>
              <w:t xml:space="preserve"> car repairs</w:t>
            </w: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MUZ</w:t>
            </w:r>
          </w:p>
        </w:tc>
        <w:tc>
          <w:tcPr>
            <w:tcW w:w="963"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HO</w:t>
            </w:r>
          </w:p>
        </w:tc>
      </w:tr>
      <w:tr w:rsidR="00636432" w:rsidTr="00947EA8">
        <w:trPr>
          <w:trHeight w:val="440"/>
        </w:trPr>
        <w:tc>
          <w:tcPr>
            <w:tcW w:w="1666"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 xml:space="preserve">213 Queens Parade, </w:t>
            </w:r>
            <w:r w:rsidRPr="00947EA8">
              <w:rPr>
                <w:rFonts w:ascii="Arial" w:hAnsi="Arial" w:cs="Arial"/>
                <w:sz w:val="28"/>
                <w:szCs w:val="18"/>
                <w:vertAlign w:val="superscript"/>
              </w:rPr>
              <w:br/>
              <w:t xml:space="preserve">6 </w:t>
            </w:r>
            <w:proofErr w:type="spellStart"/>
            <w:r w:rsidRPr="00947EA8">
              <w:rPr>
                <w:rFonts w:ascii="Arial" w:hAnsi="Arial" w:cs="Arial"/>
                <w:sz w:val="28"/>
                <w:szCs w:val="18"/>
                <w:vertAlign w:val="superscript"/>
              </w:rPr>
              <w:t>Dummett</w:t>
            </w:r>
            <w:proofErr w:type="spellEnd"/>
            <w:r w:rsidRPr="00947EA8">
              <w:rPr>
                <w:rFonts w:ascii="Arial" w:hAnsi="Arial" w:cs="Arial"/>
                <w:sz w:val="28"/>
                <w:szCs w:val="18"/>
                <w:vertAlign w:val="superscript"/>
              </w:rPr>
              <w:t xml:space="preserve"> </w:t>
            </w:r>
            <w:proofErr w:type="spellStart"/>
            <w:r w:rsidRPr="00947EA8">
              <w:rPr>
                <w:rFonts w:ascii="Arial" w:hAnsi="Arial" w:cs="Arial"/>
                <w:sz w:val="28"/>
                <w:szCs w:val="18"/>
                <w:vertAlign w:val="superscript"/>
              </w:rPr>
              <w:t>Cres</w:t>
            </w:r>
            <w:proofErr w:type="spellEnd"/>
            <w:r w:rsidRPr="00947EA8">
              <w:rPr>
                <w:rFonts w:ascii="Arial" w:hAnsi="Arial" w:cs="Arial"/>
                <w:sz w:val="28"/>
                <w:szCs w:val="18"/>
                <w:vertAlign w:val="superscript"/>
              </w:rPr>
              <w:t>.</w:t>
            </w:r>
          </w:p>
        </w:tc>
        <w:tc>
          <w:tcPr>
            <w:tcW w:w="16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Single storey warehouse</w:t>
            </w:r>
          </w:p>
        </w:tc>
        <w:tc>
          <w:tcPr>
            <w:tcW w:w="2503"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Subject to PLN05/0996</w:t>
            </w:r>
            <w:r w:rsidRPr="00947EA8">
              <w:rPr>
                <w:rFonts w:ascii="Arial" w:hAnsi="Arial" w:cs="Arial"/>
                <w:sz w:val="28"/>
                <w:szCs w:val="18"/>
                <w:vertAlign w:val="superscript"/>
              </w:rPr>
              <w:br/>
              <w:t>5 storeys,</w:t>
            </w:r>
            <w:r w:rsidRPr="00947EA8">
              <w:rPr>
                <w:rFonts w:ascii="Arial" w:hAnsi="Arial" w:cs="Arial"/>
                <w:sz w:val="28"/>
                <w:szCs w:val="18"/>
                <w:vertAlign w:val="superscript"/>
              </w:rPr>
              <w:br/>
              <w:t xml:space="preserve">24 dwellings </w:t>
            </w:r>
          </w:p>
        </w:tc>
        <w:tc>
          <w:tcPr>
            <w:tcW w:w="1701"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Hurl’s Fitness Centre</w:t>
            </w: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MUZ</w:t>
            </w:r>
          </w:p>
        </w:tc>
        <w:tc>
          <w:tcPr>
            <w:tcW w:w="963"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HO</w:t>
            </w:r>
          </w:p>
        </w:tc>
      </w:tr>
      <w:tr w:rsidR="00636432" w:rsidTr="00947EA8">
        <w:trPr>
          <w:trHeight w:val="440"/>
        </w:trPr>
        <w:tc>
          <w:tcPr>
            <w:tcW w:w="1666"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proofErr w:type="gramStart"/>
            <w:r w:rsidRPr="00947EA8">
              <w:rPr>
                <w:rFonts w:ascii="Arial" w:hAnsi="Arial" w:cs="Arial"/>
                <w:sz w:val="28"/>
                <w:szCs w:val="18"/>
                <w:vertAlign w:val="superscript"/>
              </w:rPr>
              <w:t>10  Drummett</w:t>
            </w:r>
            <w:proofErr w:type="gramEnd"/>
            <w:r w:rsidRPr="00947EA8">
              <w:rPr>
                <w:rFonts w:ascii="Arial" w:hAnsi="Arial" w:cs="Arial"/>
                <w:sz w:val="28"/>
                <w:szCs w:val="18"/>
                <w:vertAlign w:val="superscript"/>
              </w:rPr>
              <w:t xml:space="preserve"> </w:t>
            </w:r>
            <w:proofErr w:type="spellStart"/>
            <w:r w:rsidRPr="00947EA8">
              <w:rPr>
                <w:rFonts w:ascii="Arial" w:hAnsi="Arial" w:cs="Arial"/>
                <w:sz w:val="28"/>
                <w:szCs w:val="18"/>
                <w:vertAlign w:val="superscript"/>
              </w:rPr>
              <w:t>Cres</w:t>
            </w:r>
            <w:proofErr w:type="spellEnd"/>
            <w:r w:rsidRPr="00947EA8">
              <w:rPr>
                <w:rFonts w:ascii="Arial" w:hAnsi="Arial" w:cs="Arial"/>
                <w:sz w:val="28"/>
                <w:szCs w:val="18"/>
                <w:vertAlign w:val="superscript"/>
              </w:rPr>
              <w:t>.</w:t>
            </w:r>
          </w:p>
        </w:tc>
        <w:tc>
          <w:tcPr>
            <w:tcW w:w="16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vacant land</w:t>
            </w:r>
          </w:p>
        </w:tc>
        <w:tc>
          <w:tcPr>
            <w:tcW w:w="2503"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c>
          <w:tcPr>
            <w:tcW w:w="1701" w:type="dxa"/>
            <w:tcBorders>
              <w:top w:val="single" w:sz="4" w:space="0" w:color="auto"/>
              <w:left w:val="single" w:sz="4" w:space="0" w:color="auto"/>
              <w:bottom w:val="single" w:sz="4" w:space="0" w:color="auto"/>
              <w:right w:val="single" w:sz="4" w:space="0" w:color="auto"/>
            </w:tcBorders>
          </w:tcPr>
          <w:p w:rsidR="00636432" w:rsidRPr="00947EA8" w:rsidRDefault="00636432" w:rsidP="00947EA8">
            <w:pPr>
              <w:spacing w:after="60"/>
              <w:rPr>
                <w:rFonts w:ascii="Arial" w:hAnsi="Arial" w:cs="Arial"/>
                <w:sz w:val="28"/>
                <w:szCs w:val="18"/>
                <w:vertAlign w:val="superscript"/>
              </w:rPr>
            </w:pPr>
          </w:p>
        </w:tc>
        <w:tc>
          <w:tcPr>
            <w:tcW w:w="850"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MUZ</w:t>
            </w:r>
          </w:p>
        </w:tc>
        <w:tc>
          <w:tcPr>
            <w:tcW w:w="963" w:type="dxa"/>
            <w:tcBorders>
              <w:top w:val="single" w:sz="4" w:space="0" w:color="auto"/>
              <w:left w:val="single" w:sz="4" w:space="0" w:color="auto"/>
              <w:bottom w:val="single" w:sz="4" w:space="0" w:color="auto"/>
              <w:right w:val="single" w:sz="4" w:space="0" w:color="auto"/>
            </w:tcBorders>
            <w:hideMark/>
          </w:tcPr>
          <w:p w:rsidR="00636432" w:rsidRPr="00947EA8" w:rsidRDefault="00636432" w:rsidP="00947EA8">
            <w:pPr>
              <w:spacing w:after="60"/>
              <w:rPr>
                <w:rFonts w:ascii="Arial" w:hAnsi="Arial" w:cs="Arial"/>
                <w:sz w:val="28"/>
                <w:szCs w:val="18"/>
                <w:vertAlign w:val="superscript"/>
              </w:rPr>
            </w:pPr>
            <w:r w:rsidRPr="00947EA8">
              <w:rPr>
                <w:rFonts w:ascii="Arial" w:hAnsi="Arial" w:cs="Arial"/>
                <w:sz w:val="28"/>
                <w:szCs w:val="18"/>
                <w:vertAlign w:val="superscript"/>
              </w:rPr>
              <w:t>HO</w:t>
            </w:r>
          </w:p>
        </w:tc>
      </w:tr>
    </w:tbl>
    <w:p w:rsidR="00947EA8" w:rsidRDefault="00947EA8" w:rsidP="00115849">
      <w:pPr>
        <w:pStyle w:val="Heading1"/>
      </w:pPr>
    </w:p>
    <w:p w:rsidR="00947EA8" w:rsidRDefault="00947EA8">
      <w:pPr>
        <w:rPr>
          <w:rFonts w:asciiTheme="majorHAnsi" w:eastAsiaTheme="majorEastAsia" w:hAnsiTheme="majorHAnsi" w:cstheme="majorBidi"/>
          <w:b/>
          <w:bCs/>
          <w:color w:val="365F91" w:themeColor="accent1" w:themeShade="BF"/>
          <w:sz w:val="28"/>
          <w:szCs w:val="28"/>
        </w:rPr>
      </w:pPr>
      <w:r>
        <w:br w:type="page"/>
      </w:r>
    </w:p>
    <w:p w:rsidR="00115849" w:rsidRDefault="00115849" w:rsidP="00115849">
      <w:pPr>
        <w:pStyle w:val="Heading1"/>
      </w:pPr>
      <w:r>
        <w:lastRenderedPageBreak/>
        <w:t xml:space="preserve">Appendix </w:t>
      </w:r>
      <w:r w:rsidR="00A92DD4">
        <w:t>1</w:t>
      </w:r>
      <w:r>
        <w:t xml:space="preserve"> </w:t>
      </w:r>
      <w:r w:rsidR="00A92DD4">
        <w:t xml:space="preserve">- </w:t>
      </w:r>
      <w:r w:rsidRPr="00115849">
        <w:t>The 3068 Group’s Sub</w:t>
      </w:r>
      <w:r>
        <w:t>mission to Melbourne 2030 Audit</w:t>
      </w:r>
      <w:r w:rsidR="00DE43CB">
        <w:t>,</w:t>
      </w:r>
      <w:r>
        <w:t xml:space="preserve"> 2007</w:t>
      </w:r>
    </w:p>
    <w:p w:rsidR="00DE43CB" w:rsidRDefault="00DE43CB" w:rsidP="00115849">
      <w:pPr>
        <w:rPr>
          <w:rFonts w:ascii="Book Antiqua" w:hAnsi="Book Antiqua"/>
        </w:rPr>
      </w:pPr>
    </w:p>
    <w:p w:rsidR="00115849" w:rsidRPr="00115849" w:rsidRDefault="00115849" w:rsidP="00115849">
      <w:pPr>
        <w:rPr>
          <w:rFonts w:ascii="Book Antiqua" w:hAnsi="Book Antiqua"/>
        </w:rPr>
      </w:pPr>
      <w:r w:rsidRPr="00115849">
        <w:rPr>
          <w:rFonts w:ascii="Book Antiqua" w:hAnsi="Book Antiqua"/>
        </w:rPr>
        <w:t xml:space="preserve">The 3068 Group fully supports </w:t>
      </w:r>
      <w:r w:rsidR="006315B3">
        <w:rPr>
          <w:rFonts w:ascii="Book Antiqua" w:hAnsi="Book Antiqua"/>
        </w:rPr>
        <w:t>t</w:t>
      </w:r>
      <w:r w:rsidRPr="00115849">
        <w:rPr>
          <w:rFonts w:ascii="Book Antiqua" w:hAnsi="Book Antiqua"/>
        </w:rPr>
        <w:t xml:space="preserve">he City of </w:t>
      </w:r>
      <w:proofErr w:type="spellStart"/>
      <w:r w:rsidRPr="00115849">
        <w:rPr>
          <w:rFonts w:ascii="Book Antiqua" w:hAnsi="Book Antiqua"/>
        </w:rPr>
        <w:t>Yarra’s</w:t>
      </w:r>
      <w:proofErr w:type="spellEnd"/>
      <w:r w:rsidRPr="00115849">
        <w:rPr>
          <w:rFonts w:ascii="Book Antiqua" w:hAnsi="Book Antiqua"/>
        </w:rPr>
        <w:t xml:space="preserve"> recommendation that “Melbourne</w:t>
      </w:r>
      <w:r>
        <w:rPr>
          <w:rFonts w:ascii="Book Antiqua" w:hAnsi="Book Antiqua"/>
        </w:rPr>
        <w:t xml:space="preserve"> </w:t>
      </w:r>
      <w:r w:rsidRPr="00115849">
        <w:rPr>
          <w:rFonts w:ascii="Book Antiqua" w:hAnsi="Book Antiqua"/>
        </w:rPr>
        <w:t xml:space="preserve">2030 be modified to </w:t>
      </w:r>
      <w:proofErr w:type="spellStart"/>
      <w:r w:rsidRPr="00115849">
        <w:rPr>
          <w:rFonts w:ascii="Book Antiqua" w:hAnsi="Book Antiqua"/>
        </w:rPr>
        <w:t>recognise</w:t>
      </w:r>
      <w:proofErr w:type="spellEnd"/>
      <w:r w:rsidRPr="00115849">
        <w:rPr>
          <w:rFonts w:ascii="Book Antiqua" w:hAnsi="Book Antiqua"/>
        </w:rPr>
        <w:t xml:space="preserve"> the distinction between activity </w:t>
      </w:r>
      <w:proofErr w:type="spellStart"/>
      <w:r w:rsidRPr="00115849">
        <w:rPr>
          <w:rFonts w:ascii="Book Antiqua" w:hAnsi="Book Antiqua"/>
        </w:rPr>
        <w:t>centres</w:t>
      </w:r>
      <w:proofErr w:type="spellEnd"/>
      <w:r w:rsidRPr="00115849">
        <w:rPr>
          <w:rFonts w:ascii="Book Antiqua" w:hAnsi="Book Antiqua"/>
        </w:rPr>
        <w:t xml:space="preserve"> in Inner Melbourne and the rest of Melbourne and that the related policies be amended</w:t>
      </w:r>
      <w:r>
        <w:rPr>
          <w:rFonts w:ascii="Book Antiqua" w:hAnsi="Book Antiqua"/>
        </w:rPr>
        <w:t xml:space="preserve"> </w:t>
      </w:r>
      <w:r w:rsidRPr="00115849">
        <w:rPr>
          <w:rFonts w:ascii="Book Antiqua" w:hAnsi="Book Antiqua"/>
        </w:rPr>
        <w:t>to reflect such a distinction and that Melbourne 2</w:t>
      </w:r>
      <w:r>
        <w:rPr>
          <w:rFonts w:ascii="Book Antiqua" w:hAnsi="Book Antiqua"/>
        </w:rPr>
        <w:t xml:space="preserve">030 be modified to support the </w:t>
      </w:r>
      <w:r w:rsidRPr="00115849">
        <w:rPr>
          <w:rFonts w:ascii="Book Antiqua" w:hAnsi="Book Antiqua"/>
        </w:rPr>
        <w:t xml:space="preserve">implementation of the </w:t>
      </w:r>
      <w:r w:rsidRPr="00DE43CB">
        <w:rPr>
          <w:rFonts w:ascii="Book Antiqua" w:hAnsi="Book Antiqua"/>
          <w:b/>
        </w:rPr>
        <w:t>Inner Regional Housing Statement</w:t>
      </w:r>
      <w:r w:rsidRPr="00115849">
        <w:rPr>
          <w:rFonts w:ascii="Book Antiqua" w:hAnsi="Book Antiqua"/>
        </w:rPr>
        <w:t xml:space="preserve"> which identifies that the majority of new housing development can be </w:t>
      </w:r>
      <w:r>
        <w:rPr>
          <w:rFonts w:ascii="Book Antiqua" w:hAnsi="Book Antiqua"/>
        </w:rPr>
        <w:t>a</w:t>
      </w:r>
      <w:r w:rsidRPr="00115849">
        <w:rPr>
          <w:rFonts w:ascii="Book Antiqua" w:hAnsi="Book Antiqua"/>
        </w:rPr>
        <w:t xml:space="preserve">ccommodated on key strategic </w:t>
      </w:r>
      <w:r>
        <w:rPr>
          <w:rFonts w:ascii="Book Antiqua" w:hAnsi="Book Antiqua"/>
        </w:rPr>
        <w:t xml:space="preserve"> </w:t>
      </w:r>
      <w:r w:rsidRPr="00115849">
        <w:rPr>
          <w:rFonts w:ascii="Book Antiqua" w:hAnsi="Book Antiqua"/>
        </w:rPr>
        <w:t>redevelopment sites many</w:t>
      </w:r>
      <w:r w:rsidR="006315B3">
        <w:rPr>
          <w:rFonts w:ascii="Book Antiqua" w:hAnsi="Book Antiqua"/>
        </w:rPr>
        <w:t xml:space="preserve"> of which are close to activity </w:t>
      </w:r>
      <w:proofErr w:type="spellStart"/>
      <w:r w:rsidRPr="00115849">
        <w:rPr>
          <w:rFonts w:ascii="Book Antiqua" w:hAnsi="Book Antiqua"/>
        </w:rPr>
        <w:t>centres</w:t>
      </w:r>
      <w:proofErr w:type="spellEnd"/>
      <w:r w:rsidRPr="00115849">
        <w:rPr>
          <w:rFonts w:ascii="Book Antiqua" w:hAnsi="Book Antiqua"/>
        </w:rPr>
        <w:t xml:space="preserve">.” </w:t>
      </w:r>
    </w:p>
    <w:p w:rsidR="00115849" w:rsidRDefault="00115849" w:rsidP="00115849">
      <w:pPr>
        <w:rPr>
          <w:rFonts w:ascii="Book Antiqua" w:hAnsi="Book Antiqua"/>
        </w:rPr>
      </w:pPr>
      <w:r w:rsidRPr="00115849">
        <w:rPr>
          <w:rFonts w:ascii="Book Antiqua" w:hAnsi="Book Antiqua"/>
        </w:rPr>
        <w:t xml:space="preserve">Activity </w:t>
      </w:r>
      <w:proofErr w:type="spellStart"/>
      <w:r w:rsidRPr="00115849">
        <w:rPr>
          <w:rFonts w:ascii="Book Antiqua" w:hAnsi="Book Antiqua"/>
        </w:rPr>
        <w:t>Centres</w:t>
      </w:r>
      <w:proofErr w:type="spellEnd"/>
      <w:r w:rsidRPr="00115849">
        <w:rPr>
          <w:rFonts w:ascii="Book Antiqua" w:hAnsi="Book Antiqua"/>
        </w:rPr>
        <w:t xml:space="preserve"> are a one-size-fits-all policy that makes no sense on the ground in the City of </w:t>
      </w:r>
      <w:proofErr w:type="spellStart"/>
      <w:r w:rsidRPr="00115849">
        <w:rPr>
          <w:rFonts w:ascii="Book Antiqua" w:hAnsi="Book Antiqua"/>
        </w:rPr>
        <w:t>Yarra</w:t>
      </w:r>
      <w:proofErr w:type="spellEnd"/>
      <w:r w:rsidRPr="00115849">
        <w:rPr>
          <w:rFonts w:ascii="Book Antiqua" w:hAnsi="Book Antiqua"/>
        </w:rPr>
        <w:t xml:space="preserve">. The Government argues that Structure Plans give local council control over their activity centers. However, the Minister, the Department and Priority Development Panels regularly reject </w:t>
      </w:r>
      <w:proofErr w:type="spellStart"/>
      <w:r w:rsidRPr="00115849">
        <w:rPr>
          <w:rFonts w:ascii="Book Antiqua" w:hAnsi="Book Antiqua"/>
        </w:rPr>
        <w:t>Yarra</w:t>
      </w:r>
      <w:proofErr w:type="spellEnd"/>
      <w:r w:rsidRPr="00115849">
        <w:rPr>
          <w:rFonts w:ascii="Book Antiqua" w:hAnsi="Book Antiqua"/>
        </w:rPr>
        <w:t xml:space="preserve"> amendments on the grounds that they are inconsistent with Melbourne 2030.</w:t>
      </w:r>
    </w:p>
    <w:p w:rsidR="00115849" w:rsidRPr="00115849" w:rsidRDefault="00115849" w:rsidP="00115849">
      <w:pPr>
        <w:rPr>
          <w:rFonts w:ascii="Book Antiqua" w:hAnsi="Book Antiqua"/>
        </w:rPr>
      </w:pPr>
      <w:r w:rsidRPr="00115849">
        <w:rPr>
          <w:rFonts w:ascii="Book Antiqua" w:hAnsi="Book Antiqua"/>
        </w:rPr>
        <w:t xml:space="preserve">Most recently </w:t>
      </w:r>
      <w:proofErr w:type="spellStart"/>
      <w:r w:rsidRPr="00115849">
        <w:rPr>
          <w:rFonts w:ascii="Book Antiqua" w:hAnsi="Book Antiqua"/>
        </w:rPr>
        <w:t>Yarra’s</w:t>
      </w:r>
      <w:proofErr w:type="spellEnd"/>
      <w:r w:rsidRPr="00115849">
        <w:rPr>
          <w:rFonts w:ascii="Book Antiqua" w:hAnsi="Book Antiqua"/>
        </w:rPr>
        <w:t xml:space="preserve"> MSS (C84) has been called into questi</w:t>
      </w:r>
      <w:r>
        <w:rPr>
          <w:rFonts w:ascii="Book Antiqua" w:hAnsi="Book Antiqua"/>
        </w:rPr>
        <w:t xml:space="preserve">on for being inconsistent </w:t>
      </w:r>
      <w:r w:rsidRPr="00115849">
        <w:rPr>
          <w:rFonts w:ascii="Book Antiqua" w:hAnsi="Book Antiqua"/>
        </w:rPr>
        <w:t xml:space="preserve">with the activity </w:t>
      </w:r>
      <w:proofErr w:type="spellStart"/>
      <w:r w:rsidRPr="00115849">
        <w:rPr>
          <w:rFonts w:ascii="Book Antiqua" w:hAnsi="Book Antiqua"/>
        </w:rPr>
        <w:t>centres</w:t>
      </w:r>
      <w:proofErr w:type="spellEnd"/>
      <w:r w:rsidRPr="00115849">
        <w:rPr>
          <w:rFonts w:ascii="Book Antiqua" w:hAnsi="Book Antiqua"/>
        </w:rPr>
        <w:t xml:space="preserve"> concept. On this issue, the interim panel report</w:t>
      </w:r>
      <w:r w:rsidR="00DE43CB">
        <w:rPr>
          <w:rFonts w:ascii="Book Antiqua" w:hAnsi="Book Antiqua"/>
        </w:rPr>
        <w:t xml:space="preserve"> did not </w:t>
      </w:r>
      <w:r w:rsidRPr="00115849">
        <w:rPr>
          <w:rFonts w:ascii="Book Antiqua" w:hAnsi="Book Antiqua"/>
        </w:rPr>
        <w:t>criticize</w:t>
      </w:r>
      <w:r w:rsidR="00DE43CB">
        <w:rPr>
          <w:rFonts w:ascii="Book Antiqua" w:hAnsi="Book Antiqua"/>
        </w:rPr>
        <w:t>d</w:t>
      </w:r>
      <w:r w:rsidRPr="00115849">
        <w:rPr>
          <w:rFonts w:ascii="Book Antiqua" w:hAnsi="Book Antiqua"/>
        </w:rPr>
        <w:t xml:space="preserve"> the substance of the decision to direct residential development into former industrial sites, and accepts that </w:t>
      </w:r>
      <w:proofErr w:type="spellStart"/>
      <w:r w:rsidRPr="00115849">
        <w:rPr>
          <w:rFonts w:ascii="Book Antiqua" w:hAnsi="Book Antiqua"/>
        </w:rPr>
        <w:t>Yarra</w:t>
      </w:r>
      <w:proofErr w:type="spellEnd"/>
      <w:r w:rsidRPr="00115849">
        <w:rPr>
          <w:rFonts w:ascii="Book Antiqua" w:hAnsi="Book Antiqua"/>
        </w:rPr>
        <w:t xml:space="preserve"> will still meet population growth targets. </w:t>
      </w:r>
      <w:r w:rsidR="00DE43CB">
        <w:rPr>
          <w:rFonts w:ascii="Book Antiqua" w:hAnsi="Book Antiqua"/>
        </w:rPr>
        <w:t xml:space="preserve">However, the </w:t>
      </w:r>
      <w:r w:rsidRPr="00115849">
        <w:rPr>
          <w:rFonts w:ascii="Book Antiqua" w:hAnsi="Book Antiqua"/>
        </w:rPr>
        <w:t xml:space="preserve">panel points out that the MSS would be inconsistent with the Activity Centre policy wedged into Clause 11 of the planning scheme by Melbourne 2030. </w:t>
      </w:r>
      <w:proofErr w:type="spellStart"/>
      <w:r w:rsidRPr="00115849">
        <w:rPr>
          <w:rFonts w:ascii="Book Antiqua" w:hAnsi="Book Antiqua"/>
        </w:rPr>
        <w:t>Yarra’s</w:t>
      </w:r>
      <w:proofErr w:type="spellEnd"/>
      <w:r w:rsidRPr="00115849">
        <w:rPr>
          <w:rFonts w:ascii="Book Antiqua" w:hAnsi="Book Antiqua"/>
        </w:rPr>
        <w:t xml:space="preserve"> entire planning scheme hinges on what discretion the panel allows in the design of its activity </w:t>
      </w:r>
      <w:proofErr w:type="spellStart"/>
      <w:r w:rsidRPr="00115849">
        <w:rPr>
          <w:rFonts w:ascii="Book Antiqua" w:hAnsi="Book Antiqua"/>
        </w:rPr>
        <w:t>centre</w:t>
      </w:r>
      <w:r w:rsidR="002D7428">
        <w:rPr>
          <w:rFonts w:ascii="Book Antiqua" w:hAnsi="Book Antiqua"/>
        </w:rPr>
        <w:t>s</w:t>
      </w:r>
      <w:proofErr w:type="spellEnd"/>
      <w:r w:rsidRPr="00115849">
        <w:rPr>
          <w:rFonts w:ascii="Book Antiqua" w:hAnsi="Book Antiqua"/>
        </w:rPr>
        <w:t>.</w:t>
      </w:r>
    </w:p>
    <w:p w:rsidR="00115849" w:rsidRDefault="00115849" w:rsidP="00115849">
      <w:pPr>
        <w:rPr>
          <w:rFonts w:ascii="Book Antiqua" w:hAnsi="Book Antiqua"/>
        </w:rPr>
      </w:pPr>
      <w:r w:rsidRPr="00115849">
        <w:rPr>
          <w:rFonts w:ascii="Book Antiqua" w:hAnsi="Book Antiqua"/>
        </w:rPr>
        <w:t>Melbourne 2030’s imperative for a more compact city applies universally and without discrimination. The plan was ostensibly focused on com</w:t>
      </w:r>
      <w:r>
        <w:rPr>
          <w:rFonts w:ascii="Book Antiqua" w:hAnsi="Book Antiqua"/>
        </w:rPr>
        <w:t xml:space="preserve">pacting lower density suburbs. </w:t>
      </w:r>
    </w:p>
    <w:p w:rsidR="00115849" w:rsidRPr="00115849" w:rsidRDefault="00115849" w:rsidP="00115849">
      <w:pPr>
        <w:rPr>
          <w:rFonts w:ascii="Book Antiqua" w:hAnsi="Book Antiqua"/>
        </w:rPr>
      </w:pPr>
      <w:r w:rsidRPr="00115849">
        <w:rPr>
          <w:rFonts w:ascii="Book Antiqua" w:hAnsi="Book Antiqua"/>
        </w:rPr>
        <w:t xml:space="preserve">The inner region is already more dense and growing faster than Melbourne 2030 targets </w:t>
      </w:r>
      <w:r>
        <w:rPr>
          <w:rFonts w:ascii="Book Antiqua" w:hAnsi="Book Antiqua"/>
        </w:rPr>
        <w:t>[</w:t>
      </w:r>
      <w:r w:rsidRPr="00115849">
        <w:rPr>
          <w:rFonts w:ascii="Book Antiqua" w:hAnsi="Book Antiqua"/>
        </w:rPr>
        <w:t xml:space="preserve">Victoria in Future]. The entire inner urban area was already a </w:t>
      </w:r>
      <w:r>
        <w:rPr>
          <w:rFonts w:ascii="Book Antiqua" w:hAnsi="Book Antiqua"/>
        </w:rPr>
        <w:t xml:space="preserve">kind of activity </w:t>
      </w:r>
      <w:proofErr w:type="spellStart"/>
      <w:r>
        <w:rPr>
          <w:rFonts w:ascii="Book Antiqua" w:hAnsi="Book Antiqua"/>
        </w:rPr>
        <w:t>centre</w:t>
      </w:r>
      <w:proofErr w:type="spellEnd"/>
      <w:r>
        <w:rPr>
          <w:rFonts w:ascii="Book Antiqua" w:hAnsi="Book Antiqua"/>
        </w:rPr>
        <w:t xml:space="preserve"> with a </w:t>
      </w:r>
      <w:r w:rsidRPr="00115849">
        <w:rPr>
          <w:rFonts w:ascii="Book Antiqua" w:hAnsi="Book Antiqua"/>
        </w:rPr>
        <w:t>long history.</w:t>
      </w:r>
    </w:p>
    <w:p w:rsidR="00115849" w:rsidRPr="00115849" w:rsidRDefault="00115849" w:rsidP="00115849">
      <w:pPr>
        <w:rPr>
          <w:rFonts w:ascii="Book Antiqua" w:hAnsi="Book Antiqua"/>
        </w:rPr>
      </w:pPr>
      <w:r w:rsidRPr="00115849">
        <w:rPr>
          <w:rFonts w:ascii="Book Antiqua" w:hAnsi="Book Antiqua"/>
        </w:rPr>
        <w:t>The historical development of the inner urban area predat</w:t>
      </w:r>
      <w:r>
        <w:rPr>
          <w:rFonts w:ascii="Book Antiqua" w:hAnsi="Book Antiqua"/>
        </w:rPr>
        <w:t xml:space="preserve">es the post-war suburban </w:t>
      </w:r>
      <w:r w:rsidRPr="00115849">
        <w:rPr>
          <w:rFonts w:ascii="Book Antiqua" w:hAnsi="Book Antiqua"/>
        </w:rPr>
        <w:t>expansion and development patterns resulting from the motorcar, freeways and suburban sprawl. In Clifton Hill, Fitzroy and Collingwood, workers</w:t>
      </w:r>
      <w:r w:rsidR="002D7428">
        <w:rPr>
          <w:rFonts w:ascii="Book Antiqua" w:hAnsi="Book Antiqua"/>
        </w:rPr>
        <w:t>’</w:t>
      </w:r>
      <w:r w:rsidRPr="00115849">
        <w:rPr>
          <w:rFonts w:ascii="Book Antiqua" w:hAnsi="Book Antiqua"/>
        </w:rPr>
        <w:t xml:space="preserve"> c</w:t>
      </w:r>
      <w:r>
        <w:rPr>
          <w:rFonts w:ascii="Book Antiqua" w:hAnsi="Book Antiqua"/>
        </w:rPr>
        <w:t xml:space="preserve">ottages surround old factories. </w:t>
      </w:r>
      <w:r w:rsidRPr="00115849">
        <w:rPr>
          <w:rFonts w:ascii="Book Antiqua" w:hAnsi="Book Antiqua"/>
        </w:rPr>
        <w:t xml:space="preserve">Boot makers were very much in demand on account of all the walking people did. Later suburbs were made possible by the cable car, and later the train. </w:t>
      </w:r>
    </w:p>
    <w:p w:rsidR="00115849" w:rsidRPr="00115849" w:rsidRDefault="00115849" w:rsidP="00115849">
      <w:pPr>
        <w:rPr>
          <w:rFonts w:ascii="Book Antiqua" w:hAnsi="Book Antiqua"/>
        </w:rPr>
      </w:pPr>
      <w:r>
        <w:rPr>
          <w:rFonts w:ascii="Book Antiqua" w:hAnsi="Book Antiqua"/>
        </w:rPr>
        <w:t>T</w:t>
      </w:r>
      <w:r w:rsidRPr="00115849">
        <w:rPr>
          <w:rFonts w:ascii="Book Antiqua" w:hAnsi="Book Antiqua"/>
        </w:rPr>
        <w:t xml:space="preserve">he motor car and road funding facilitated greater separation between industrial and </w:t>
      </w:r>
      <w:r>
        <w:rPr>
          <w:rFonts w:ascii="Book Antiqua" w:hAnsi="Book Antiqua"/>
        </w:rPr>
        <w:t>r</w:t>
      </w:r>
      <w:r w:rsidRPr="00115849">
        <w:rPr>
          <w:rFonts w:ascii="Book Antiqua" w:hAnsi="Book Antiqua"/>
        </w:rPr>
        <w:t>esidential areas. Because of the early development patterns, t</w:t>
      </w:r>
      <w:r>
        <w:rPr>
          <w:rFonts w:ascii="Book Antiqua" w:hAnsi="Book Antiqua"/>
        </w:rPr>
        <w:t xml:space="preserve">he level of walking, cycling </w:t>
      </w:r>
      <w:r w:rsidRPr="00115849">
        <w:rPr>
          <w:rFonts w:ascii="Book Antiqua" w:hAnsi="Book Antiqua"/>
        </w:rPr>
        <w:t xml:space="preserve">and public transport use in the inner region is already much higher than the Melbourne average. </w:t>
      </w:r>
    </w:p>
    <w:p w:rsidR="00115849" w:rsidRPr="00115849" w:rsidRDefault="00115849" w:rsidP="00115849">
      <w:pPr>
        <w:rPr>
          <w:rFonts w:ascii="Book Antiqua" w:hAnsi="Book Antiqua"/>
        </w:rPr>
      </w:pPr>
      <w:r w:rsidRPr="00115849">
        <w:rPr>
          <w:rFonts w:ascii="Book Antiqua" w:hAnsi="Book Antiqua"/>
        </w:rPr>
        <w:t>Car ownership in the inner region is generally lower per-cap</w:t>
      </w:r>
      <w:r>
        <w:rPr>
          <w:rFonts w:ascii="Book Antiqua" w:hAnsi="Book Antiqua"/>
        </w:rPr>
        <w:t xml:space="preserve">ita though growing as a result </w:t>
      </w:r>
      <w:r w:rsidRPr="00115849">
        <w:rPr>
          <w:rFonts w:ascii="Book Antiqua" w:hAnsi="Book Antiqua"/>
        </w:rPr>
        <w:t>of rising affluence [2006 Census] while dwelling sizes were generally smaller - but may also be growing and less densely occupied.</w:t>
      </w:r>
    </w:p>
    <w:p w:rsidR="00115849" w:rsidRPr="00115849" w:rsidRDefault="00115849" w:rsidP="00115849">
      <w:pPr>
        <w:rPr>
          <w:rFonts w:ascii="Book Antiqua" w:hAnsi="Book Antiqua"/>
        </w:rPr>
      </w:pPr>
      <w:r w:rsidRPr="00115849">
        <w:rPr>
          <w:rFonts w:ascii="Book Antiqua" w:hAnsi="Book Antiqua"/>
        </w:rPr>
        <w:lastRenderedPageBreak/>
        <w:t xml:space="preserve">The Activity Centre pattern </w:t>
      </w:r>
      <w:r w:rsidR="002D7428">
        <w:rPr>
          <w:rFonts w:ascii="Book Antiqua" w:hAnsi="Book Antiqua"/>
        </w:rPr>
        <w:t xml:space="preserve">is more </w:t>
      </w:r>
      <w:r w:rsidRPr="00115849">
        <w:rPr>
          <w:rFonts w:ascii="Book Antiqua" w:hAnsi="Book Antiqua"/>
        </w:rPr>
        <w:t>relevant to a two-garage outlyi</w:t>
      </w:r>
      <w:r>
        <w:rPr>
          <w:rFonts w:ascii="Book Antiqua" w:hAnsi="Book Antiqua"/>
        </w:rPr>
        <w:t xml:space="preserve">ng suburb </w:t>
      </w:r>
      <w:r w:rsidR="002D7428">
        <w:rPr>
          <w:rFonts w:ascii="Book Antiqua" w:hAnsi="Book Antiqua"/>
        </w:rPr>
        <w:t xml:space="preserve">but is </w:t>
      </w:r>
      <w:r>
        <w:rPr>
          <w:rFonts w:ascii="Book Antiqua" w:hAnsi="Book Antiqua"/>
        </w:rPr>
        <w:t xml:space="preserve">inappropriate </w:t>
      </w:r>
      <w:r w:rsidR="002D7428">
        <w:rPr>
          <w:rFonts w:ascii="Book Antiqua" w:hAnsi="Book Antiqua"/>
        </w:rPr>
        <w:t xml:space="preserve">to </w:t>
      </w:r>
      <w:r w:rsidRPr="00115849">
        <w:rPr>
          <w:rFonts w:ascii="Book Antiqua" w:hAnsi="Book Antiqua"/>
        </w:rPr>
        <w:t>the inner urban area</w:t>
      </w:r>
      <w:r w:rsidR="002D7428">
        <w:rPr>
          <w:rFonts w:ascii="Book Antiqua" w:hAnsi="Book Antiqua"/>
        </w:rPr>
        <w:t xml:space="preserve"> and leading to perverse and </w:t>
      </w:r>
      <w:r w:rsidR="002D7428" w:rsidRPr="00115849">
        <w:rPr>
          <w:rFonts w:ascii="Book Antiqua" w:hAnsi="Book Antiqua"/>
        </w:rPr>
        <w:t>adverse impact</w:t>
      </w:r>
      <w:r w:rsidR="002D7428">
        <w:rPr>
          <w:rFonts w:ascii="Book Antiqua" w:hAnsi="Book Antiqua"/>
        </w:rPr>
        <w:t>s</w:t>
      </w:r>
      <w:r w:rsidRPr="00115849">
        <w:rPr>
          <w:rFonts w:ascii="Book Antiqua" w:hAnsi="Book Antiqua"/>
        </w:rPr>
        <w:t xml:space="preserve">. </w:t>
      </w:r>
    </w:p>
    <w:p w:rsidR="00115849" w:rsidRDefault="00115849" w:rsidP="00115849">
      <w:pPr>
        <w:rPr>
          <w:rFonts w:ascii="Book Antiqua" w:hAnsi="Book Antiqua"/>
        </w:rPr>
      </w:pPr>
      <w:r w:rsidRPr="00115849">
        <w:rPr>
          <w:rFonts w:ascii="Book Antiqua" w:hAnsi="Book Antiqua"/>
        </w:rPr>
        <w:t xml:space="preserve">Reasons for directing major residential developments away </w:t>
      </w:r>
      <w:r>
        <w:rPr>
          <w:rFonts w:ascii="Book Antiqua" w:hAnsi="Book Antiqua"/>
        </w:rPr>
        <w:t xml:space="preserve">from </w:t>
      </w:r>
      <w:proofErr w:type="spellStart"/>
      <w:r>
        <w:rPr>
          <w:rFonts w:ascii="Book Antiqua" w:hAnsi="Book Antiqua"/>
        </w:rPr>
        <w:t>Yarra’s</w:t>
      </w:r>
      <w:proofErr w:type="spellEnd"/>
      <w:r>
        <w:rPr>
          <w:rFonts w:ascii="Book Antiqua" w:hAnsi="Book Antiqua"/>
        </w:rPr>
        <w:t xml:space="preserve"> historic shopping </w:t>
      </w:r>
      <w:r w:rsidRPr="00115849">
        <w:rPr>
          <w:rFonts w:ascii="Book Antiqua" w:hAnsi="Book Antiqua"/>
        </w:rPr>
        <w:t xml:space="preserve">streets </w:t>
      </w:r>
      <w:r w:rsidR="002D7428">
        <w:rPr>
          <w:rFonts w:ascii="Book Antiqua" w:hAnsi="Book Antiqua"/>
        </w:rPr>
        <w:t xml:space="preserve">(and historic residential areas) </w:t>
      </w:r>
      <w:r w:rsidRPr="00115849">
        <w:rPr>
          <w:rFonts w:ascii="Book Antiqua" w:hAnsi="Book Antiqua"/>
        </w:rPr>
        <w:t>includes the historic small freehold ownership pattern, t</w:t>
      </w:r>
      <w:r>
        <w:rPr>
          <w:rFonts w:ascii="Book Antiqua" w:hAnsi="Book Antiqua"/>
        </w:rPr>
        <w:t xml:space="preserve">he intense level of retail and </w:t>
      </w:r>
      <w:r w:rsidRPr="00115849">
        <w:rPr>
          <w:rFonts w:ascii="Book Antiqua" w:hAnsi="Book Antiqua"/>
        </w:rPr>
        <w:t>entertainment activity, historic buildings not designed fo</w:t>
      </w:r>
      <w:r>
        <w:rPr>
          <w:rFonts w:ascii="Book Antiqua" w:hAnsi="Book Antiqua"/>
        </w:rPr>
        <w:t xml:space="preserve">r residential/commercial mixed </w:t>
      </w:r>
      <w:r w:rsidRPr="00115849">
        <w:rPr>
          <w:rFonts w:ascii="Book Antiqua" w:hAnsi="Book Antiqua"/>
        </w:rPr>
        <w:t>use and the potential impacts on the culture and tourism that s</w:t>
      </w:r>
      <w:r>
        <w:rPr>
          <w:rFonts w:ascii="Book Antiqua" w:hAnsi="Book Antiqua"/>
        </w:rPr>
        <w:t xml:space="preserve">ustain these streets. Although </w:t>
      </w:r>
      <w:r w:rsidRPr="00115849">
        <w:rPr>
          <w:rFonts w:ascii="Book Antiqua" w:hAnsi="Book Antiqua"/>
        </w:rPr>
        <w:t>there are some opportunities for residential development, these must be managed so as not to destroy the important and historic function of these streets.</w:t>
      </w:r>
    </w:p>
    <w:p w:rsidR="002D7428" w:rsidRPr="00983B52" w:rsidRDefault="00115849">
      <w:pPr>
        <w:rPr>
          <w:rFonts w:ascii="Book Antiqua" w:hAnsi="Book Antiqua"/>
          <w:i/>
        </w:rPr>
      </w:pPr>
      <w:r w:rsidRPr="002D7428">
        <w:rPr>
          <w:rFonts w:ascii="Book Antiqua" w:hAnsi="Book Antiqua"/>
          <w:i/>
        </w:rPr>
        <w:t>The 3068 Group - Submission to Melbour</w:t>
      </w:r>
      <w:r w:rsidR="008958FA" w:rsidRPr="002D7428">
        <w:rPr>
          <w:rFonts w:ascii="Book Antiqua" w:hAnsi="Book Antiqua"/>
          <w:i/>
        </w:rPr>
        <w:t>ne 2030 Audit September 2007</w:t>
      </w:r>
      <w:r w:rsidRPr="002D7428">
        <w:rPr>
          <w:rFonts w:ascii="Book Antiqua" w:hAnsi="Book Antiqua"/>
          <w:i/>
        </w:rPr>
        <w:t>.</w:t>
      </w:r>
    </w:p>
    <w:p w:rsidR="002D7428" w:rsidRDefault="00636432" w:rsidP="002D7428">
      <w:pPr>
        <w:pStyle w:val="Heading1"/>
        <w:shd w:val="clear" w:color="auto" w:fill="FFFFFF"/>
        <w:rPr>
          <w:rFonts w:ascii="Arial" w:hAnsi="Arial" w:cs="Arial"/>
          <w:color w:val="222222"/>
        </w:rPr>
      </w:pPr>
      <w:r>
        <w:rPr>
          <w:rFonts w:ascii="Arial" w:hAnsi="Arial" w:cs="Arial"/>
          <w:color w:val="222222"/>
        </w:rPr>
        <w:t xml:space="preserve">Appendix </w:t>
      </w:r>
      <w:r w:rsidR="00A92DD4">
        <w:rPr>
          <w:rFonts w:ascii="Arial" w:hAnsi="Arial" w:cs="Arial"/>
          <w:color w:val="222222"/>
        </w:rPr>
        <w:t>2</w:t>
      </w:r>
      <w:r>
        <w:rPr>
          <w:rFonts w:ascii="Arial" w:hAnsi="Arial" w:cs="Arial"/>
          <w:color w:val="222222"/>
        </w:rPr>
        <w:t xml:space="preserve"> </w:t>
      </w:r>
      <w:r w:rsidR="00A92DD4">
        <w:rPr>
          <w:rFonts w:ascii="Arial" w:hAnsi="Arial" w:cs="Arial"/>
          <w:color w:val="222222"/>
        </w:rPr>
        <w:t xml:space="preserve">- </w:t>
      </w:r>
      <w:r w:rsidR="002D7428">
        <w:rPr>
          <w:rFonts w:ascii="Arial" w:hAnsi="Arial" w:cs="Arial"/>
          <w:color w:val="222222"/>
        </w:rPr>
        <w:t>Urban Design Frameworks for Key Redevelopment Sites and Precincts</w:t>
      </w:r>
      <w:r>
        <w:rPr>
          <w:rFonts w:ascii="Arial" w:hAnsi="Arial" w:cs="Arial"/>
          <w:color w:val="222222"/>
        </w:rPr>
        <w:t xml:space="preserve"> </w:t>
      </w:r>
    </w:p>
    <w:p w:rsidR="002D7428" w:rsidRDefault="002D7428" w:rsidP="00636432">
      <w:pPr>
        <w:pStyle w:val="Heading2"/>
      </w:pPr>
      <w:r>
        <w:t xml:space="preserve">City of </w:t>
      </w:r>
      <w:proofErr w:type="spellStart"/>
      <w:r>
        <w:t>Yarra</w:t>
      </w:r>
      <w:proofErr w:type="spellEnd"/>
      <w:r>
        <w:t xml:space="preserve"> </w:t>
      </w:r>
      <w:r w:rsidR="001C340F">
        <w:t xml:space="preserve">Report, </w:t>
      </w:r>
      <w:r>
        <w:t>2004</w:t>
      </w:r>
    </w:p>
    <w:p w:rsidR="002D7428" w:rsidRPr="00636432" w:rsidRDefault="001C340F" w:rsidP="002D7428">
      <w:pPr>
        <w:rPr>
          <w:i/>
        </w:rPr>
      </w:pPr>
      <w:r w:rsidRPr="00636432">
        <w:rPr>
          <w:i/>
        </w:rPr>
        <w:t>Excerpt from Chapter2, Background</w:t>
      </w:r>
    </w:p>
    <w:p w:rsidR="002D7428" w:rsidRPr="003667AC" w:rsidRDefault="002D7428" w:rsidP="002D7428">
      <w:pPr>
        <w:shd w:val="clear" w:color="auto" w:fill="FFFFFF"/>
        <w:rPr>
          <w:rFonts w:ascii="Book Antiqua" w:hAnsi="Book Antiqua"/>
          <w:sz w:val="24"/>
          <w:szCs w:val="24"/>
        </w:rPr>
      </w:pPr>
      <w:r w:rsidRPr="003667AC">
        <w:rPr>
          <w:rFonts w:ascii="Book Antiqua" w:hAnsi="Book Antiqua"/>
          <w:sz w:val="24"/>
          <w:szCs w:val="24"/>
        </w:rPr>
        <w:t xml:space="preserve">In its submission on Melbourne 2030 – Planning for Sustainable Growth, Council expressed its concern about the implications of the strategy, especially within the City of </w:t>
      </w:r>
      <w:proofErr w:type="spellStart"/>
      <w:r w:rsidRPr="003667AC">
        <w:rPr>
          <w:rFonts w:ascii="Book Antiqua" w:hAnsi="Book Antiqua"/>
          <w:sz w:val="24"/>
          <w:szCs w:val="24"/>
        </w:rPr>
        <w:t>Yarra</w:t>
      </w:r>
      <w:proofErr w:type="spellEnd"/>
      <w:r w:rsidRPr="003667AC">
        <w:rPr>
          <w:rFonts w:ascii="Book Antiqua" w:hAnsi="Book Antiqua"/>
          <w:sz w:val="24"/>
          <w:szCs w:val="24"/>
        </w:rPr>
        <w:t xml:space="preserve">, in which five of the nominated Major Activity </w:t>
      </w:r>
      <w:proofErr w:type="spellStart"/>
      <w:r w:rsidRPr="003667AC">
        <w:rPr>
          <w:rFonts w:ascii="Book Antiqua" w:hAnsi="Book Antiqua"/>
          <w:sz w:val="24"/>
          <w:szCs w:val="24"/>
        </w:rPr>
        <w:t>Centres</w:t>
      </w:r>
      <w:proofErr w:type="spellEnd"/>
      <w:r w:rsidRPr="003667AC">
        <w:rPr>
          <w:rFonts w:ascii="Book Antiqua" w:hAnsi="Book Antiqua"/>
          <w:sz w:val="24"/>
          <w:szCs w:val="24"/>
        </w:rPr>
        <w:t xml:space="preserve"> are located: Bridge Road, Richmond; Swan Street, Richmond; Victoria St, Richmond; Brunswick St, Fitzroy; and Smith St, Fitzroy. It was Council’s view, that this would effectively enable almost all of </w:t>
      </w:r>
      <w:proofErr w:type="spellStart"/>
      <w:r w:rsidRPr="003667AC">
        <w:rPr>
          <w:rFonts w:ascii="Book Antiqua" w:hAnsi="Book Antiqua"/>
          <w:sz w:val="24"/>
          <w:szCs w:val="24"/>
        </w:rPr>
        <w:t>Yarra</w:t>
      </w:r>
      <w:proofErr w:type="spellEnd"/>
      <w:r w:rsidRPr="003667AC">
        <w:rPr>
          <w:rFonts w:ascii="Book Antiqua" w:hAnsi="Book Antiqua"/>
          <w:sz w:val="24"/>
          <w:szCs w:val="24"/>
        </w:rPr>
        <w:t xml:space="preserve"> to be subject to increased development and higher density housing, with the exception of a few small areas in North Fitzroy, North Carlton and </w:t>
      </w:r>
      <w:proofErr w:type="spellStart"/>
      <w:r w:rsidRPr="003667AC">
        <w:rPr>
          <w:rFonts w:ascii="Book Antiqua" w:hAnsi="Book Antiqua"/>
          <w:sz w:val="24"/>
          <w:szCs w:val="24"/>
        </w:rPr>
        <w:t>Alphington</w:t>
      </w:r>
      <w:proofErr w:type="spellEnd"/>
      <w:r w:rsidRPr="003667AC">
        <w:rPr>
          <w:rFonts w:ascii="Book Antiqua" w:hAnsi="Book Antiqua"/>
          <w:sz w:val="24"/>
          <w:szCs w:val="24"/>
        </w:rPr>
        <w:t>. </w:t>
      </w:r>
    </w:p>
    <w:p w:rsidR="002D7428" w:rsidRPr="003667AC" w:rsidRDefault="002D7428" w:rsidP="002D7428">
      <w:pPr>
        <w:shd w:val="clear" w:color="auto" w:fill="FFFFFF"/>
        <w:rPr>
          <w:rFonts w:ascii="Book Antiqua" w:hAnsi="Book Antiqua"/>
          <w:sz w:val="24"/>
          <w:szCs w:val="24"/>
        </w:rPr>
      </w:pPr>
      <w:r w:rsidRPr="003667AC">
        <w:rPr>
          <w:rFonts w:ascii="Book Antiqua" w:hAnsi="Book Antiqua"/>
          <w:sz w:val="24"/>
          <w:szCs w:val="24"/>
        </w:rPr>
        <w:t xml:space="preserve">The key concern in this regard would be the fact that many of these strips are covered by heritage overlays under the </w:t>
      </w:r>
      <w:proofErr w:type="spellStart"/>
      <w:r w:rsidRPr="003667AC">
        <w:rPr>
          <w:rFonts w:ascii="Book Antiqua" w:hAnsi="Book Antiqua"/>
          <w:sz w:val="24"/>
          <w:szCs w:val="24"/>
        </w:rPr>
        <w:t>Yarra</w:t>
      </w:r>
      <w:proofErr w:type="spellEnd"/>
      <w:r w:rsidRPr="003667AC">
        <w:rPr>
          <w:rFonts w:ascii="Book Antiqua" w:hAnsi="Book Antiqua"/>
          <w:sz w:val="24"/>
          <w:szCs w:val="24"/>
        </w:rPr>
        <w:t xml:space="preserve"> Planning Scheme, and any future development must meet the objectives for these areas. In addition, </w:t>
      </w:r>
      <w:proofErr w:type="spellStart"/>
      <w:r w:rsidRPr="003667AC">
        <w:rPr>
          <w:rFonts w:ascii="Book Antiqua" w:hAnsi="Book Antiqua"/>
          <w:sz w:val="24"/>
          <w:szCs w:val="24"/>
        </w:rPr>
        <w:t>Yarra</w:t>
      </w:r>
      <w:proofErr w:type="spellEnd"/>
      <w:r w:rsidRPr="003667AC">
        <w:rPr>
          <w:rFonts w:ascii="Book Antiqua" w:hAnsi="Book Antiqua"/>
          <w:sz w:val="24"/>
          <w:szCs w:val="24"/>
        </w:rPr>
        <w:t xml:space="preserve"> has a number of valued low-density residential areas that are not protected by Heritage controls. This, added to the limitations of the existing infrastructure serving </w:t>
      </w:r>
      <w:proofErr w:type="spellStart"/>
      <w:r w:rsidRPr="003667AC">
        <w:rPr>
          <w:rFonts w:ascii="Book Antiqua" w:hAnsi="Book Antiqua"/>
          <w:sz w:val="24"/>
          <w:szCs w:val="24"/>
        </w:rPr>
        <w:t>Yarra’s</w:t>
      </w:r>
      <w:proofErr w:type="spellEnd"/>
      <w:r w:rsidRPr="003667AC">
        <w:rPr>
          <w:rFonts w:ascii="Book Antiqua" w:hAnsi="Book Antiqua"/>
          <w:sz w:val="24"/>
          <w:szCs w:val="24"/>
        </w:rPr>
        <w:t xml:space="preserve"> activity </w:t>
      </w:r>
      <w:proofErr w:type="spellStart"/>
      <w:r w:rsidRPr="003667AC">
        <w:rPr>
          <w:rFonts w:ascii="Book Antiqua" w:hAnsi="Book Antiqua"/>
          <w:sz w:val="24"/>
          <w:szCs w:val="24"/>
        </w:rPr>
        <w:t>centres</w:t>
      </w:r>
      <w:proofErr w:type="spellEnd"/>
      <w:r w:rsidRPr="003667AC">
        <w:rPr>
          <w:rFonts w:ascii="Book Antiqua" w:hAnsi="Book Antiqua"/>
          <w:sz w:val="24"/>
          <w:szCs w:val="24"/>
        </w:rPr>
        <w:t>, will place many constraints on major growth and development in the nominated areas.  </w:t>
      </w:r>
    </w:p>
    <w:p w:rsidR="002D7428" w:rsidRPr="001C340F" w:rsidRDefault="002D7428" w:rsidP="001C340F">
      <w:pPr>
        <w:shd w:val="clear" w:color="auto" w:fill="FFFFFF"/>
        <w:rPr>
          <w:rFonts w:ascii="Book Antiqua" w:hAnsi="Book Antiqua"/>
          <w:sz w:val="24"/>
          <w:szCs w:val="24"/>
        </w:rPr>
      </w:pPr>
      <w:r w:rsidRPr="003667AC">
        <w:rPr>
          <w:rFonts w:ascii="Book Antiqua" w:hAnsi="Book Antiqua"/>
          <w:sz w:val="24"/>
          <w:szCs w:val="24"/>
        </w:rPr>
        <w:t xml:space="preserve">Council submitted that within the City of </w:t>
      </w:r>
      <w:proofErr w:type="spellStart"/>
      <w:r w:rsidRPr="003667AC">
        <w:rPr>
          <w:rFonts w:ascii="Book Antiqua" w:hAnsi="Book Antiqua"/>
          <w:sz w:val="24"/>
          <w:szCs w:val="24"/>
        </w:rPr>
        <w:t>Yarra</w:t>
      </w:r>
      <w:proofErr w:type="spellEnd"/>
      <w:r w:rsidRPr="003667AC">
        <w:rPr>
          <w:rFonts w:ascii="Book Antiqua" w:hAnsi="Book Antiqua"/>
          <w:sz w:val="24"/>
          <w:szCs w:val="24"/>
        </w:rPr>
        <w:t xml:space="preserve"> there are suitable strategic </w:t>
      </w:r>
      <w:r>
        <w:rPr>
          <w:rFonts w:ascii="Book Antiqua" w:hAnsi="Book Antiqua"/>
          <w:sz w:val="24"/>
          <w:szCs w:val="24"/>
        </w:rPr>
        <w:t>r</w:t>
      </w:r>
      <w:r w:rsidRPr="003667AC">
        <w:rPr>
          <w:rFonts w:ascii="Book Antiqua" w:hAnsi="Book Antiqua"/>
          <w:sz w:val="24"/>
          <w:szCs w:val="24"/>
        </w:rPr>
        <w:t xml:space="preserve">edevelopment sites close to public transport and services, which could be the focus of future residential growth and mixed-use development in the City of </w:t>
      </w:r>
      <w:proofErr w:type="spellStart"/>
      <w:r w:rsidRPr="003667AC">
        <w:rPr>
          <w:rFonts w:ascii="Book Antiqua" w:hAnsi="Book Antiqua"/>
          <w:sz w:val="24"/>
          <w:szCs w:val="24"/>
        </w:rPr>
        <w:t>Yarra</w:t>
      </w:r>
      <w:proofErr w:type="spellEnd"/>
      <w:r w:rsidRPr="003667AC">
        <w:rPr>
          <w:rFonts w:ascii="Book Antiqua" w:hAnsi="Book Antiqua"/>
          <w:sz w:val="24"/>
          <w:szCs w:val="24"/>
        </w:rPr>
        <w:t xml:space="preserve"> over the next 30 years, with only limited housing growth encouraged i</w:t>
      </w:r>
      <w:r w:rsidR="002C40D6">
        <w:rPr>
          <w:rFonts w:ascii="Book Antiqua" w:hAnsi="Book Antiqua"/>
          <w:sz w:val="24"/>
          <w:szCs w:val="24"/>
        </w:rPr>
        <w:t xml:space="preserve">n its major activity </w:t>
      </w:r>
      <w:proofErr w:type="spellStart"/>
      <w:r w:rsidR="002C40D6">
        <w:rPr>
          <w:rFonts w:ascii="Book Antiqua" w:hAnsi="Book Antiqua"/>
          <w:sz w:val="24"/>
          <w:szCs w:val="24"/>
        </w:rPr>
        <w:t>centres</w:t>
      </w:r>
      <w:proofErr w:type="spellEnd"/>
      <w:r w:rsidR="002C40D6">
        <w:rPr>
          <w:rFonts w:ascii="Book Antiqua" w:hAnsi="Book Antiqua"/>
          <w:sz w:val="24"/>
          <w:szCs w:val="24"/>
        </w:rPr>
        <w:t xml:space="preserve"> to </w:t>
      </w:r>
      <w:proofErr w:type="spellStart"/>
      <w:r w:rsidRPr="003667AC">
        <w:rPr>
          <w:rFonts w:ascii="Book Antiqua" w:hAnsi="Book Antiqua"/>
          <w:sz w:val="24"/>
          <w:szCs w:val="24"/>
        </w:rPr>
        <w:t>minimise</w:t>
      </w:r>
      <w:proofErr w:type="spellEnd"/>
      <w:r w:rsidRPr="003667AC">
        <w:rPr>
          <w:rFonts w:ascii="Book Antiqua" w:hAnsi="Book Antiqua"/>
          <w:sz w:val="24"/>
          <w:szCs w:val="24"/>
        </w:rPr>
        <w:t xml:space="preserve"> any adverse impact on the established character of these </w:t>
      </w:r>
      <w:proofErr w:type="spellStart"/>
      <w:r w:rsidRPr="003667AC">
        <w:rPr>
          <w:rFonts w:ascii="Book Antiqua" w:hAnsi="Book Antiqua"/>
          <w:sz w:val="24"/>
          <w:szCs w:val="24"/>
        </w:rPr>
        <w:t>centres</w:t>
      </w:r>
      <w:proofErr w:type="spellEnd"/>
      <w:r w:rsidRPr="003667AC">
        <w:rPr>
          <w:rFonts w:ascii="Book Antiqua" w:hAnsi="Book Antiqua"/>
          <w:sz w:val="24"/>
          <w:szCs w:val="24"/>
        </w:rPr>
        <w:t xml:space="preserve">, as most of these </w:t>
      </w:r>
      <w:proofErr w:type="spellStart"/>
      <w:r w:rsidRPr="003667AC">
        <w:rPr>
          <w:rFonts w:ascii="Book Antiqua" w:hAnsi="Book Antiqua"/>
          <w:sz w:val="24"/>
          <w:szCs w:val="24"/>
        </w:rPr>
        <w:t>centres</w:t>
      </w:r>
      <w:proofErr w:type="spellEnd"/>
      <w:r w:rsidRPr="003667AC">
        <w:rPr>
          <w:rFonts w:ascii="Book Antiqua" w:hAnsi="Book Antiqua"/>
          <w:sz w:val="24"/>
          <w:szCs w:val="24"/>
        </w:rPr>
        <w:t xml:space="preserve"> have already reached their saturation point in terms of develo</w:t>
      </w:r>
      <w:r w:rsidR="001C340F">
        <w:rPr>
          <w:rFonts w:ascii="Book Antiqua" w:hAnsi="Book Antiqua"/>
          <w:sz w:val="24"/>
          <w:szCs w:val="24"/>
        </w:rPr>
        <w:t>pment.</w:t>
      </w:r>
    </w:p>
    <w:p w:rsidR="00983B52" w:rsidRDefault="00983B52">
      <w:r>
        <w:br w:type="page"/>
      </w:r>
    </w:p>
    <w:p w:rsidR="008E7B40" w:rsidRDefault="00983B52" w:rsidP="00983B52">
      <w:pPr>
        <w:pStyle w:val="Heading1"/>
      </w:pPr>
      <w:r>
        <w:lastRenderedPageBreak/>
        <w:t>Appendix 3 – Heritage Studies in the Proposed RGZ</w:t>
      </w:r>
    </w:p>
    <w:p w:rsidR="00983B52" w:rsidRDefault="007A282C" w:rsidP="00983B52">
      <w:r>
        <w:t>These maps show the heritage overlays in detail over some of the proposed overlays. The heritage overlay for Queens Parade is not shown.</w:t>
      </w:r>
    </w:p>
    <w:p w:rsidR="00983B52" w:rsidRDefault="00983B52" w:rsidP="00983B52">
      <w:r>
        <w:t>Key:</w:t>
      </w:r>
    </w:p>
    <w:p w:rsidR="00983B52" w:rsidRDefault="00983B52" w:rsidP="00983B52">
      <w:pPr>
        <w:pStyle w:val="ListParagraph"/>
        <w:numPr>
          <w:ilvl w:val="0"/>
          <w:numId w:val="11"/>
        </w:numPr>
      </w:pPr>
      <w:r>
        <w:t xml:space="preserve">New zones </w:t>
      </w:r>
      <w:r w:rsidRPr="007A282C">
        <w:rPr>
          <w:b/>
        </w:rPr>
        <w:t>approximately</w:t>
      </w:r>
      <w:r>
        <w:t xml:space="preserve"> outlined in red.</w:t>
      </w:r>
    </w:p>
    <w:p w:rsidR="00983B52" w:rsidRDefault="00983B52" w:rsidP="00983B52">
      <w:pPr>
        <w:pStyle w:val="ListParagraph"/>
        <w:numPr>
          <w:ilvl w:val="0"/>
          <w:numId w:val="11"/>
        </w:numPr>
      </w:pPr>
      <w:r>
        <w:t>Black is individually significant</w:t>
      </w:r>
    </w:p>
    <w:p w:rsidR="00983B52" w:rsidRDefault="00983B52" w:rsidP="00983B52">
      <w:pPr>
        <w:pStyle w:val="ListParagraph"/>
        <w:numPr>
          <w:ilvl w:val="0"/>
          <w:numId w:val="11"/>
        </w:numPr>
      </w:pPr>
      <w:r>
        <w:t>Gray is contributory</w:t>
      </w:r>
    </w:p>
    <w:p w:rsidR="00983B52" w:rsidRPr="00983B52" w:rsidRDefault="00983B52" w:rsidP="00983B52">
      <w:pPr>
        <w:pStyle w:val="ListParagraph"/>
        <w:numPr>
          <w:ilvl w:val="0"/>
          <w:numId w:val="11"/>
        </w:numPr>
      </w:pPr>
      <w:r>
        <w:t>White is non-contributory</w:t>
      </w:r>
    </w:p>
    <w:p w:rsidR="002D7428" w:rsidRDefault="004B5F5D" w:rsidP="00115849">
      <w:pPr>
        <w:rPr>
          <w:rFonts w:ascii="Book Antiqua" w:hAnsi="Book Antiqua"/>
        </w:rPr>
      </w:pPr>
      <w:r>
        <w:rPr>
          <w:noProof/>
          <w:lang w:val="en-AU" w:eastAsia="en-AU"/>
        </w:rPr>
        <w:pict>
          <v:rect id="_x0000_s1027" style="position:absolute;margin-left:259.95pt;margin-top:117.45pt;width:219.3pt;height:24.75pt;rotation:-1971457fd;z-index:251660288" filled="f" strokecolor="red"/>
        </w:pict>
      </w:r>
      <w:r w:rsidR="008E7B40">
        <w:rPr>
          <w:noProof/>
          <w:lang w:val="en-AU" w:eastAsia="en-AU"/>
        </w:rPr>
        <w:drawing>
          <wp:inline distT="0" distB="0" distL="0" distR="0" wp14:anchorId="339F1769" wp14:editId="545A81B0">
            <wp:extent cx="5943600" cy="4618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618355"/>
                    </a:xfrm>
                    <a:prstGeom prst="rect">
                      <a:avLst/>
                    </a:prstGeom>
                  </pic:spPr>
                </pic:pic>
              </a:graphicData>
            </a:graphic>
          </wp:inline>
        </w:drawing>
      </w:r>
    </w:p>
    <w:p w:rsidR="008E7B40" w:rsidRPr="00983B52" w:rsidRDefault="008E7B40" w:rsidP="008E7B40">
      <w:pPr>
        <w:jc w:val="center"/>
        <w:rPr>
          <w:rFonts w:ascii="Book Antiqua" w:hAnsi="Book Antiqua"/>
          <w:b/>
        </w:rPr>
      </w:pPr>
      <w:r w:rsidRPr="00983B52">
        <w:rPr>
          <w:rFonts w:ascii="Book Antiqua" w:hAnsi="Book Antiqua"/>
          <w:b/>
        </w:rPr>
        <w:t>HO327 Heritage Overlay</w:t>
      </w:r>
    </w:p>
    <w:p w:rsidR="008E7B40" w:rsidRDefault="004B5F5D" w:rsidP="008E7B40">
      <w:pPr>
        <w:jc w:val="center"/>
        <w:rPr>
          <w:rFonts w:ascii="Book Antiqua" w:hAnsi="Book Antiqua"/>
        </w:rPr>
      </w:pPr>
      <w:r>
        <w:rPr>
          <w:noProof/>
          <w:lang w:val="en-AU" w:eastAsia="en-AU"/>
        </w:rPr>
        <w:lastRenderedPageBreak/>
        <w:pict>
          <v:rect id="_x0000_s1028" style="position:absolute;left:0;text-align:left;margin-left:117.45pt;margin-top:317.6pt;width:226.45pt;height:24.75pt;rotation:-1971457fd;z-index:251661312" filled="f" strokecolor="red"/>
        </w:pict>
      </w:r>
      <w:r w:rsidR="00095363">
        <w:rPr>
          <w:noProof/>
          <w:lang w:val="en-AU" w:eastAsia="en-AU"/>
        </w:rPr>
        <w:drawing>
          <wp:inline distT="0" distB="0" distL="0" distR="0" wp14:anchorId="34A2AA48" wp14:editId="16DDB8E2">
            <wp:extent cx="4582003" cy="570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3838" cy="5707760"/>
                    </a:xfrm>
                    <a:prstGeom prst="rect">
                      <a:avLst/>
                    </a:prstGeom>
                  </pic:spPr>
                </pic:pic>
              </a:graphicData>
            </a:graphic>
          </wp:inline>
        </w:drawing>
      </w:r>
    </w:p>
    <w:p w:rsidR="00095363" w:rsidRPr="00983B52" w:rsidRDefault="00095363" w:rsidP="008E7B40">
      <w:pPr>
        <w:jc w:val="center"/>
        <w:rPr>
          <w:rFonts w:ascii="Book Antiqua" w:hAnsi="Book Antiqua"/>
          <w:b/>
        </w:rPr>
      </w:pPr>
      <w:r w:rsidRPr="00983B52">
        <w:rPr>
          <w:rFonts w:ascii="Book Antiqua" w:hAnsi="Book Antiqua"/>
          <w:b/>
        </w:rPr>
        <w:t>HO327 Overlay</w:t>
      </w:r>
    </w:p>
    <w:p w:rsidR="008E7B40" w:rsidRDefault="007A282C" w:rsidP="00115849">
      <w:pPr>
        <w:rPr>
          <w:rFonts w:ascii="Book Antiqua" w:hAnsi="Book Antiqua"/>
        </w:rPr>
      </w:pPr>
      <w:r>
        <w:rPr>
          <w:noProof/>
          <w:lang w:val="en-AU" w:eastAsia="en-AU"/>
        </w:rPr>
        <w:lastRenderedPageBreak/>
        <w:pict>
          <v:rect id="_x0000_s1030" style="position:absolute;margin-left:205.75pt;margin-top:44.75pt;width:40.8pt;height:48.9pt;rotation:-1971457fd;z-index:251663360" fillcolor="#5a5a5a [2109]" strokecolor="black [3213]" strokeweight="2.25pt"/>
        </w:pict>
      </w:r>
      <w:r w:rsidR="004B5F5D">
        <w:rPr>
          <w:noProof/>
          <w:lang w:val="en-AU" w:eastAsia="en-AU"/>
        </w:rPr>
        <w:pict>
          <v:rect id="_x0000_s1029" style="position:absolute;margin-left:146.25pt;margin-top:62.35pt;width:113.3pt;height:24.75pt;rotation:-1971457fd;z-index:251664384" filled="f" strokecolor="red"/>
        </w:pict>
      </w:r>
      <w:r w:rsidR="002C40D6">
        <w:rPr>
          <w:noProof/>
          <w:lang w:val="en-AU" w:eastAsia="en-AU"/>
        </w:rPr>
        <w:drawing>
          <wp:inline distT="0" distB="0" distL="0" distR="0" wp14:anchorId="62257178" wp14:editId="41045D5B">
            <wp:extent cx="5943600" cy="5253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253990"/>
                    </a:xfrm>
                    <a:prstGeom prst="rect">
                      <a:avLst/>
                    </a:prstGeom>
                    <a:solidFill>
                      <a:schemeClr val="tx1">
                        <a:lumMod val="50000"/>
                        <a:lumOff val="50000"/>
                      </a:schemeClr>
                    </a:solidFill>
                  </pic:spPr>
                </pic:pic>
              </a:graphicData>
            </a:graphic>
          </wp:inline>
        </w:drawing>
      </w:r>
    </w:p>
    <w:p w:rsidR="002C40D6" w:rsidRDefault="002C40D6" w:rsidP="00115849">
      <w:pPr>
        <w:rPr>
          <w:rFonts w:ascii="Book Antiqua" w:hAnsi="Book Antiqua"/>
        </w:rPr>
      </w:pPr>
    </w:p>
    <w:p w:rsidR="002C40D6" w:rsidRPr="00983B52" w:rsidRDefault="002C40D6" w:rsidP="002C40D6">
      <w:pPr>
        <w:jc w:val="center"/>
        <w:rPr>
          <w:rFonts w:ascii="Book Antiqua" w:hAnsi="Book Antiqua"/>
          <w:b/>
        </w:rPr>
      </w:pPr>
      <w:r w:rsidRPr="00983B52">
        <w:rPr>
          <w:rFonts w:ascii="Book Antiqua" w:hAnsi="Book Antiqua"/>
          <w:b/>
        </w:rPr>
        <w:t>HO317 Clifton Hill</w:t>
      </w:r>
    </w:p>
    <w:p w:rsidR="00636432" w:rsidRDefault="00636432" w:rsidP="00636432">
      <w:pPr>
        <w:pStyle w:val="Heading1"/>
      </w:pPr>
    </w:p>
    <w:p w:rsidR="00636432" w:rsidRDefault="00636432"/>
    <w:sectPr w:rsidR="00636432" w:rsidSect="00514E76">
      <w:footerReference w:type="default" r:id="rId17"/>
      <w:pgSz w:w="12240" w:h="15840"/>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F5D" w:rsidRDefault="004B5F5D" w:rsidP="002532DD">
      <w:pPr>
        <w:spacing w:after="0" w:line="240" w:lineRule="auto"/>
      </w:pPr>
      <w:r>
        <w:separator/>
      </w:r>
    </w:p>
  </w:endnote>
  <w:endnote w:type="continuationSeparator" w:id="0">
    <w:p w:rsidR="004B5F5D" w:rsidRDefault="004B5F5D" w:rsidP="00253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witzerland">
    <w:altName w:val="Times New Roman"/>
    <w:charset w:val="00"/>
    <w:family w:val="auto"/>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8FA" w:rsidRPr="008958FA" w:rsidRDefault="008958FA" w:rsidP="008958FA">
    <w:pPr>
      <w:pStyle w:val="Title"/>
      <w:rPr>
        <w:rFonts w:ascii="Arial" w:hAnsi="Arial"/>
        <w:sz w:val="20"/>
      </w:rPr>
    </w:pPr>
    <w:r w:rsidRPr="008958FA">
      <w:rPr>
        <w:rFonts w:ascii="Arial" w:hAnsi="Arial"/>
        <w:b w:val="0"/>
        <w:sz w:val="20"/>
      </w:rPr>
      <w:t>Amendment C179 Residential Growth Zones - The 3068 Neighbourhood Group</w:t>
    </w:r>
  </w:p>
  <w:p w:rsidR="008958FA" w:rsidRDefault="008958FA">
    <w:pPr>
      <w:pStyle w:val="Footer"/>
    </w:pPr>
  </w:p>
  <w:p w:rsidR="008958FA" w:rsidRDefault="00895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F5D" w:rsidRDefault="004B5F5D" w:rsidP="002532DD">
      <w:pPr>
        <w:spacing w:after="0" w:line="240" w:lineRule="auto"/>
      </w:pPr>
      <w:r>
        <w:separator/>
      </w:r>
    </w:p>
  </w:footnote>
  <w:footnote w:type="continuationSeparator" w:id="0">
    <w:p w:rsidR="004B5F5D" w:rsidRDefault="004B5F5D" w:rsidP="002532DD">
      <w:pPr>
        <w:spacing w:after="0" w:line="240" w:lineRule="auto"/>
      </w:pPr>
      <w:r>
        <w:continuationSeparator/>
      </w:r>
    </w:p>
  </w:footnote>
  <w:footnote w:id="1">
    <w:p w:rsidR="00527B1E" w:rsidRPr="00DE21EE" w:rsidRDefault="00527B1E" w:rsidP="00527B1E">
      <w:pPr>
        <w:pStyle w:val="FootnoteText"/>
      </w:pPr>
      <w:r>
        <w:rPr>
          <w:rStyle w:val="FootnoteReference"/>
        </w:rPr>
        <w:footnoteRef/>
      </w:r>
      <w:r>
        <w:t xml:space="preserve"> Michael Buxton, Professor Environment and Planning at RMIT University, </w:t>
      </w:r>
      <w:r>
        <w:rPr>
          <w:u w:val="single"/>
        </w:rPr>
        <w:t>Promises, Promises, Promises</w:t>
      </w:r>
      <w:r>
        <w:t>, Institute of Transportation Engineers Forum, Melbourne, 21 August, 2014</w:t>
      </w:r>
    </w:p>
  </w:footnote>
  <w:footnote w:id="2">
    <w:p w:rsidR="00C3153A" w:rsidRDefault="00C3153A">
      <w:pPr>
        <w:pStyle w:val="FootnoteText"/>
      </w:pPr>
      <w:r>
        <w:rPr>
          <w:rStyle w:val="FootnoteReference"/>
        </w:rPr>
        <w:footnoteRef/>
      </w:r>
      <w:r>
        <w:t xml:space="preserve"> Amendment C82, Map No.2, Zones</w:t>
      </w:r>
    </w:p>
  </w:footnote>
  <w:footnote w:id="3">
    <w:p w:rsidR="00E374B2" w:rsidRDefault="00E374B2">
      <w:pPr>
        <w:pStyle w:val="FootnoteText"/>
      </w:pPr>
      <w:r>
        <w:rPr>
          <w:rStyle w:val="FootnoteReference"/>
        </w:rPr>
        <w:footnoteRef/>
      </w:r>
      <w:r w:rsidR="00514E76">
        <w:t xml:space="preserve"> Refer to Survey of under developed land, attached below</w:t>
      </w:r>
    </w:p>
  </w:footnote>
  <w:footnote w:id="4">
    <w:p w:rsidR="00E756EF" w:rsidRDefault="00E756EF" w:rsidP="00E756EF">
      <w:pPr>
        <w:pStyle w:val="FootnoteText"/>
      </w:pPr>
      <w:r>
        <w:rPr>
          <w:rStyle w:val="FootnoteReference"/>
        </w:rPr>
        <w:footnoteRef/>
      </w:r>
      <w:r>
        <w:t xml:space="preserve"> DTPLI, Planning Practice Note 78,</w:t>
      </w:r>
      <w:r>
        <w:rPr>
          <w:u w:val="single"/>
        </w:rPr>
        <w:t>Applying the Residential Zones</w:t>
      </w:r>
      <w:r>
        <w:t xml:space="preserve"> , December, 2013, p.1</w:t>
      </w:r>
    </w:p>
  </w:footnote>
  <w:footnote w:id="5">
    <w:p w:rsidR="00E756EF" w:rsidRDefault="00E756EF" w:rsidP="00E756EF">
      <w:pPr>
        <w:pStyle w:val="FootnoteText"/>
      </w:pPr>
      <w:r>
        <w:rPr>
          <w:rStyle w:val="FootnoteReference"/>
        </w:rPr>
        <w:footnoteRef/>
      </w:r>
      <w:r>
        <w:t xml:space="preserve"> ibid.</w:t>
      </w:r>
    </w:p>
  </w:footnote>
  <w:footnote w:id="6">
    <w:p w:rsidR="00E756EF" w:rsidRPr="00E756EF" w:rsidRDefault="00E756EF" w:rsidP="00E756EF">
      <w:pPr>
        <w:pStyle w:val="FootnoteText"/>
        <w:rPr>
          <w:lang w:val="en-AU"/>
        </w:rPr>
      </w:pPr>
      <w:r>
        <w:rPr>
          <w:rStyle w:val="FootnoteReference"/>
        </w:rPr>
        <w:footnoteRef/>
      </w:r>
      <w:r>
        <w:t xml:space="preserve"> YARRA PLANNING SCHEME AMENDMENT C84, FINAL PANEL REPORT: FEBRUARY 2008, 1.2.1 ‘</w:t>
      </w:r>
      <w:r w:rsidRPr="00E756EF">
        <w:t xml:space="preserve">Conflict between Melbourne 2030 and MSS on Activity </w:t>
      </w:r>
      <w:proofErr w:type="spellStart"/>
      <w:r w:rsidRPr="00E756EF">
        <w:t>centres</w:t>
      </w:r>
      <w:r>
        <w:t>’</w:t>
      </w:r>
      <w:proofErr w:type="spellEnd"/>
    </w:p>
  </w:footnote>
  <w:footnote w:id="7">
    <w:p w:rsidR="00CD00FB" w:rsidRDefault="00CD00FB">
      <w:pPr>
        <w:pStyle w:val="FootnoteText"/>
      </w:pPr>
      <w:r>
        <w:rPr>
          <w:rStyle w:val="FootnoteReference"/>
        </w:rPr>
        <w:footnoteRef/>
      </w:r>
      <w:r>
        <w:t xml:space="preserve"> ibid.p.2</w:t>
      </w:r>
    </w:p>
  </w:footnote>
  <w:footnote w:id="8">
    <w:p w:rsidR="00733637" w:rsidRDefault="00733637">
      <w:pPr>
        <w:pStyle w:val="FootnoteText"/>
      </w:pPr>
      <w:r>
        <w:rPr>
          <w:rStyle w:val="FootnoteReference"/>
        </w:rPr>
        <w:footnoteRef/>
      </w:r>
      <w:r>
        <w:t xml:space="preserve"> Municipal Strategic Statement, clause 21</w:t>
      </w:r>
      <w:r w:rsidR="00C60CC6">
        <w:t>.10</w:t>
      </w:r>
      <w:proofErr w:type="gramStart"/>
      <w:r>
        <w:t>,-</w:t>
      </w:r>
      <w:proofErr w:type="gramEnd"/>
      <w:r>
        <w:t xml:space="preserve"> </w:t>
      </w:r>
      <w:r w:rsidR="00C60CC6">
        <w:t>Amendment C8</w:t>
      </w:r>
      <w:r w:rsidR="00906D71">
        <w:t>5</w:t>
      </w:r>
      <w:r w:rsidR="00C60CC6">
        <w:t>, 20</w:t>
      </w:r>
      <w:r w:rsidR="00906D71">
        <w:t>10</w:t>
      </w:r>
      <w:r w:rsidR="0059373E">
        <w:t>.</w:t>
      </w:r>
    </w:p>
  </w:footnote>
  <w:footnote w:id="9">
    <w:p w:rsidR="004E59CA" w:rsidRDefault="004E59CA">
      <w:pPr>
        <w:pStyle w:val="FootnoteText"/>
      </w:pPr>
      <w:r>
        <w:rPr>
          <w:rStyle w:val="FootnoteReference"/>
        </w:rPr>
        <w:footnoteRef/>
      </w:r>
      <w:r>
        <w:t xml:space="preserve"> Ibid.</w:t>
      </w:r>
    </w:p>
  </w:footnote>
  <w:footnote w:id="10">
    <w:p w:rsidR="0059373E" w:rsidRPr="0059373E" w:rsidRDefault="0059373E">
      <w:pPr>
        <w:pStyle w:val="FootnoteText"/>
        <w:rPr>
          <w:lang w:val="en-AU"/>
        </w:rPr>
      </w:pPr>
      <w:r>
        <w:rPr>
          <w:rStyle w:val="FootnoteReference"/>
        </w:rPr>
        <w:footnoteRef/>
      </w:r>
      <w:r>
        <w:t xml:space="preserve"> </w:t>
      </w:r>
      <w:r w:rsidRPr="0059373E">
        <w:t>http://www.dpcd.vic.gov.au/__data/assets/pdf_file/0005/165929/McGauran-EWS-Appendices-1-and-2.pdf</w:t>
      </w:r>
    </w:p>
  </w:footnote>
  <w:footnote w:id="11">
    <w:p w:rsidR="007A4A84" w:rsidRDefault="007A4A84">
      <w:pPr>
        <w:pStyle w:val="FootnoteText"/>
      </w:pPr>
      <w:r>
        <w:rPr>
          <w:rStyle w:val="FootnoteReference"/>
        </w:rPr>
        <w:footnoteRef/>
      </w:r>
      <w:r>
        <w:t xml:space="preserve"> Municipal Strategic Statement , clause 21.05,- Amendment C85, 2010</w:t>
      </w:r>
    </w:p>
  </w:footnote>
  <w:footnote w:id="12">
    <w:p w:rsidR="009B0870" w:rsidRPr="009B0870" w:rsidRDefault="009B0870">
      <w:pPr>
        <w:pStyle w:val="FootnoteText"/>
      </w:pPr>
      <w:r>
        <w:rPr>
          <w:rStyle w:val="FootnoteReference"/>
        </w:rPr>
        <w:footnoteRef/>
      </w:r>
      <w:r>
        <w:t xml:space="preserve"> </w:t>
      </w:r>
      <w:proofErr w:type="spellStart"/>
      <w:r>
        <w:t>Planisphere</w:t>
      </w:r>
      <w:proofErr w:type="spellEnd"/>
      <w:r>
        <w:t xml:space="preserve">, planning and design, </w:t>
      </w:r>
      <w:r>
        <w:rPr>
          <w:u w:val="single"/>
        </w:rPr>
        <w:t xml:space="preserve">Residential Zones Implementation for the City of </w:t>
      </w:r>
      <w:proofErr w:type="spellStart"/>
      <w:r>
        <w:rPr>
          <w:u w:val="single"/>
        </w:rPr>
        <w:t>Yarra</w:t>
      </w:r>
      <w:proofErr w:type="spellEnd"/>
      <w:r>
        <w:rPr>
          <w:u w:val="single"/>
        </w:rPr>
        <w:t xml:space="preserve">, October 2013, Draft Report, </w:t>
      </w:r>
      <w:r>
        <w:t>2.1.1 Development Trends, p.10</w:t>
      </w:r>
    </w:p>
  </w:footnote>
  <w:footnote w:id="13">
    <w:p w:rsidR="006D516D" w:rsidRDefault="006D516D">
      <w:pPr>
        <w:pStyle w:val="FootnoteText"/>
      </w:pPr>
      <w:r>
        <w:rPr>
          <w:rStyle w:val="FootnoteReference"/>
        </w:rPr>
        <w:footnoteRef/>
      </w:r>
      <w:r>
        <w:t xml:space="preserve"> Ibid.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84148"/>
    <w:multiLevelType w:val="hybridMultilevel"/>
    <w:tmpl w:val="4DFC1C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C8C19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57F6E01"/>
    <w:multiLevelType w:val="hybridMultilevel"/>
    <w:tmpl w:val="E5745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1E059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33766723"/>
    <w:multiLevelType w:val="hybridMultilevel"/>
    <w:tmpl w:val="4BB48804"/>
    <w:lvl w:ilvl="0" w:tplc="3FA2BDCA">
      <w:start w:val="1"/>
      <w:numFmt w:val="decimal"/>
      <w:lvlText w:val="%1."/>
      <w:lvlJc w:val="left"/>
      <w:pPr>
        <w:ind w:left="720" w:hanging="360"/>
      </w:pPr>
      <w:rPr>
        <w:rFonts w:asciiTheme="majorHAnsi" w:hAnsiTheme="majorHAnsi" w:cstheme="majorBidi" w:hint="default"/>
        <w:sz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7A7968"/>
    <w:multiLevelType w:val="hybridMultilevel"/>
    <w:tmpl w:val="4BB48804"/>
    <w:lvl w:ilvl="0" w:tplc="3FA2BDCA">
      <w:start w:val="1"/>
      <w:numFmt w:val="decimal"/>
      <w:lvlText w:val="%1."/>
      <w:lvlJc w:val="left"/>
      <w:pPr>
        <w:ind w:left="360" w:hanging="360"/>
      </w:pPr>
      <w:rPr>
        <w:rFonts w:asciiTheme="majorHAnsi" w:hAnsiTheme="majorHAnsi" w:cstheme="majorBidi" w:hint="default"/>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7A03100"/>
    <w:multiLevelType w:val="hybridMultilevel"/>
    <w:tmpl w:val="3CD8983C"/>
    <w:lvl w:ilvl="0" w:tplc="2E469AA6">
      <w:start w:val="3068"/>
      <w:numFmt w:val="bullet"/>
      <w:lvlText w:val="-"/>
      <w:lvlJc w:val="left"/>
      <w:pPr>
        <w:ind w:left="3240" w:hanging="360"/>
      </w:pPr>
      <w:rPr>
        <w:rFonts w:ascii="Book Antiqua" w:eastAsiaTheme="minorHAnsi" w:hAnsi="Book Antiqua" w:cstheme="minorBidi"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7">
    <w:nsid w:val="435C50E7"/>
    <w:multiLevelType w:val="hybridMultilevel"/>
    <w:tmpl w:val="A8124E76"/>
    <w:lvl w:ilvl="0" w:tplc="3FA2BDCA">
      <w:start w:val="1"/>
      <w:numFmt w:val="decimal"/>
      <w:lvlText w:val="%1."/>
      <w:lvlJc w:val="left"/>
      <w:pPr>
        <w:ind w:left="720" w:hanging="360"/>
      </w:pPr>
      <w:rPr>
        <w:rFonts w:asciiTheme="majorHAnsi" w:hAnsiTheme="majorHAnsi" w:cstheme="majorBidi" w:hint="default"/>
        <w:sz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B241B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722C53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7E8F057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6"/>
  </w:num>
  <w:num w:numId="3">
    <w:abstractNumId w:val="0"/>
  </w:num>
  <w:num w:numId="4">
    <w:abstractNumId w:val="8"/>
  </w:num>
  <w:num w:numId="5">
    <w:abstractNumId w:val="3"/>
  </w:num>
  <w:num w:numId="6">
    <w:abstractNumId w:val="10"/>
  </w:num>
  <w:num w:numId="7">
    <w:abstractNumId w:val="1"/>
  </w:num>
  <w:num w:numId="8">
    <w:abstractNumId w:val="9"/>
  </w:num>
  <w:num w:numId="9">
    <w:abstractNumId w:val="7"/>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748EC"/>
    <w:rsid w:val="000264B6"/>
    <w:rsid w:val="0004642A"/>
    <w:rsid w:val="000510B6"/>
    <w:rsid w:val="00055DC6"/>
    <w:rsid w:val="000757AE"/>
    <w:rsid w:val="00095363"/>
    <w:rsid w:val="000A0475"/>
    <w:rsid w:val="000B3F2B"/>
    <w:rsid w:val="000C26F0"/>
    <w:rsid w:val="000C3FF2"/>
    <w:rsid w:val="000E17A0"/>
    <w:rsid w:val="000E308B"/>
    <w:rsid w:val="00115849"/>
    <w:rsid w:val="00150E9E"/>
    <w:rsid w:val="0017234E"/>
    <w:rsid w:val="00174715"/>
    <w:rsid w:val="0019061F"/>
    <w:rsid w:val="001B4B65"/>
    <w:rsid w:val="001C1A1A"/>
    <w:rsid w:val="001C340F"/>
    <w:rsid w:val="002532DD"/>
    <w:rsid w:val="0025682C"/>
    <w:rsid w:val="0027144B"/>
    <w:rsid w:val="00274213"/>
    <w:rsid w:val="002C40D6"/>
    <w:rsid w:val="002D7428"/>
    <w:rsid w:val="002F404D"/>
    <w:rsid w:val="003667AC"/>
    <w:rsid w:val="00367061"/>
    <w:rsid w:val="003803FA"/>
    <w:rsid w:val="003A4EAF"/>
    <w:rsid w:val="003B24BE"/>
    <w:rsid w:val="003C101B"/>
    <w:rsid w:val="003C685F"/>
    <w:rsid w:val="00407F84"/>
    <w:rsid w:val="00417B35"/>
    <w:rsid w:val="00424F0E"/>
    <w:rsid w:val="00445994"/>
    <w:rsid w:val="004924D2"/>
    <w:rsid w:val="004B5F5D"/>
    <w:rsid w:val="004C5448"/>
    <w:rsid w:val="004E2F47"/>
    <w:rsid w:val="004E59CA"/>
    <w:rsid w:val="004E5D9B"/>
    <w:rsid w:val="004E6BD8"/>
    <w:rsid w:val="00514E76"/>
    <w:rsid w:val="00517626"/>
    <w:rsid w:val="00527B1E"/>
    <w:rsid w:val="00552CCA"/>
    <w:rsid w:val="0059373E"/>
    <w:rsid w:val="005A51BB"/>
    <w:rsid w:val="005B7F8A"/>
    <w:rsid w:val="005E1099"/>
    <w:rsid w:val="005F1B62"/>
    <w:rsid w:val="00600352"/>
    <w:rsid w:val="006073E5"/>
    <w:rsid w:val="006315B3"/>
    <w:rsid w:val="00635E8B"/>
    <w:rsid w:val="00636432"/>
    <w:rsid w:val="0065519A"/>
    <w:rsid w:val="006925C4"/>
    <w:rsid w:val="006B5C7C"/>
    <w:rsid w:val="006D01AB"/>
    <w:rsid w:val="006D516D"/>
    <w:rsid w:val="006E656E"/>
    <w:rsid w:val="006F7730"/>
    <w:rsid w:val="00721F1C"/>
    <w:rsid w:val="00733637"/>
    <w:rsid w:val="00734C8E"/>
    <w:rsid w:val="00736BBB"/>
    <w:rsid w:val="00767A0D"/>
    <w:rsid w:val="00781B0D"/>
    <w:rsid w:val="00794594"/>
    <w:rsid w:val="007A282C"/>
    <w:rsid w:val="007A4A84"/>
    <w:rsid w:val="007D78E0"/>
    <w:rsid w:val="007F7395"/>
    <w:rsid w:val="008332A0"/>
    <w:rsid w:val="00835510"/>
    <w:rsid w:val="00882466"/>
    <w:rsid w:val="008841C8"/>
    <w:rsid w:val="00894F87"/>
    <w:rsid w:val="008958FA"/>
    <w:rsid w:val="00896D64"/>
    <w:rsid w:val="008E7B40"/>
    <w:rsid w:val="00906D71"/>
    <w:rsid w:val="009250A6"/>
    <w:rsid w:val="00947EA8"/>
    <w:rsid w:val="0096711D"/>
    <w:rsid w:val="00983B52"/>
    <w:rsid w:val="009B0870"/>
    <w:rsid w:val="009D3D79"/>
    <w:rsid w:val="009D7131"/>
    <w:rsid w:val="009E0DD2"/>
    <w:rsid w:val="009F7389"/>
    <w:rsid w:val="00A04D7D"/>
    <w:rsid w:val="00A17601"/>
    <w:rsid w:val="00A209EC"/>
    <w:rsid w:val="00A27921"/>
    <w:rsid w:val="00A61678"/>
    <w:rsid w:val="00A71463"/>
    <w:rsid w:val="00A92DD4"/>
    <w:rsid w:val="00AA06E9"/>
    <w:rsid w:val="00AC7633"/>
    <w:rsid w:val="00B07B80"/>
    <w:rsid w:val="00B301A7"/>
    <w:rsid w:val="00B33918"/>
    <w:rsid w:val="00B57A88"/>
    <w:rsid w:val="00BD2C99"/>
    <w:rsid w:val="00BE415A"/>
    <w:rsid w:val="00C050D7"/>
    <w:rsid w:val="00C1103B"/>
    <w:rsid w:val="00C15404"/>
    <w:rsid w:val="00C21FDA"/>
    <w:rsid w:val="00C3153A"/>
    <w:rsid w:val="00C60CC6"/>
    <w:rsid w:val="00C871E2"/>
    <w:rsid w:val="00C904BE"/>
    <w:rsid w:val="00CD00FB"/>
    <w:rsid w:val="00D258EE"/>
    <w:rsid w:val="00D26159"/>
    <w:rsid w:val="00D308D7"/>
    <w:rsid w:val="00D37A0D"/>
    <w:rsid w:val="00D72727"/>
    <w:rsid w:val="00D748EC"/>
    <w:rsid w:val="00D86A42"/>
    <w:rsid w:val="00D965DC"/>
    <w:rsid w:val="00DE21EE"/>
    <w:rsid w:val="00DE43CB"/>
    <w:rsid w:val="00DE661C"/>
    <w:rsid w:val="00E271C0"/>
    <w:rsid w:val="00E277BE"/>
    <w:rsid w:val="00E374B2"/>
    <w:rsid w:val="00E5580D"/>
    <w:rsid w:val="00E61444"/>
    <w:rsid w:val="00E70AB7"/>
    <w:rsid w:val="00E756EF"/>
    <w:rsid w:val="00E76AFC"/>
    <w:rsid w:val="00E93D9C"/>
    <w:rsid w:val="00EB6C9E"/>
    <w:rsid w:val="00EC6493"/>
    <w:rsid w:val="00F101ED"/>
    <w:rsid w:val="00F16758"/>
    <w:rsid w:val="00F40C8C"/>
    <w:rsid w:val="00F60FE8"/>
    <w:rsid w:val="00F90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D8BDA305-4D30-437A-95AB-E53B4A29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B62"/>
  </w:style>
  <w:style w:type="paragraph" w:styleId="Heading1">
    <w:name w:val="heading 1"/>
    <w:basedOn w:val="Normal"/>
    <w:next w:val="Normal"/>
    <w:link w:val="Heading1Char"/>
    <w:uiPriority w:val="9"/>
    <w:qFormat/>
    <w:rsid w:val="00552C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06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09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3E5"/>
    <w:pPr>
      <w:ind w:left="720"/>
      <w:contextualSpacing/>
    </w:pPr>
  </w:style>
  <w:style w:type="paragraph" w:styleId="FootnoteText">
    <w:name w:val="footnote text"/>
    <w:basedOn w:val="Normal"/>
    <w:link w:val="FootnoteTextChar"/>
    <w:semiHidden/>
    <w:unhideWhenUsed/>
    <w:rsid w:val="002532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2DD"/>
    <w:rPr>
      <w:sz w:val="20"/>
      <w:szCs w:val="20"/>
    </w:rPr>
  </w:style>
  <w:style w:type="character" w:styleId="FootnoteReference">
    <w:name w:val="footnote reference"/>
    <w:basedOn w:val="DefaultParagraphFont"/>
    <w:uiPriority w:val="99"/>
    <w:unhideWhenUsed/>
    <w:rsid w:val="002532DD"/>
    <w:rPr>
      <w:vertAlign w:val="superscript"/>
    </w:rPr>
  </w:style>
  <w:style w:type="character" w:customStyle="1" w:styleId="Heading1Char">
    <w:name w:val="Heading 1 Char"/>
    <w:basedOn w:val="DefaultParagraphFont"/>
    <w:link w:val="Heading1"/>
    <w:uiPriority w:val="9"/>
    <w:rsid w:val="00552C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A06E9"/>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C904BE"/>
    <w:pPr>
      <w:spacing w:before="240" w:after="60" w:line="240" w:lineRule="auto"/>
      <w:jc w:val="center"/>
      <w:outlineLvl w:val="0"/>
    </w:pPr>
    <w:rPr>
      <w:rFonts w:ascii="Switzerland" w:eastAsia="Times New Roman" w:hAnsi="Switzerland" w:cs="Times New Roman"/>
      <w:b/>
      <w:kern w:val="28"/>
      <w:sz w:val="32"/>
      <w:szCs w:val="20"/>
      <w:lang w:val="en-AU"/>
    </w:rPr>
  </w:style>
  <w:style w:type="character" w:customStyle="1" w:styleId="TitleChar">
    <w:name w:val="Title Char"/>
    <w:basedOn w:val="DefaultParagraphFont"/>
    <w:link w:val="Title"/>
    <w:rsid w:val="00C904BE"/>
    <w:rPr>
      <w:rFonts w:ascii="Switzerland" w:eastAsia="Times New Roman" w:hAnsi="Switzerland" w:cs="Times New Roman"/>
      <w:b/>
      <w:kern w:val="28"/>
      <w:sz w:val="32"/>
      <w:szCs w:val="20"/>
      <w:lang w:val="en-AU"/>
    </w:rPr>
  </w:style>
  <w:style w:type="paragraph" w:customStyle="1" w:styleId="BodyText-Contemporary">
    <w:name w:val="Body Text - Contemporary"/>
    <w:basedOn w:val="Normal"/>
    <w:rsid w:val="00C904BE"/>
    <w:pPr>
      <w:suppressAutoHyphens/>
      <w:spacing w:line="260" w:lineRule="exact"/>
    </w:pPr>
    <w:rPr>
      <w:rFonts w:ascii="Times New Roman" w:eastAsia="Times New Roman" w:hAnsi="Times New Roman" w:cs="Times New Roman"/>
      <w:sz w:val="20"/>
      <w:szCs w:val="20"/>
      <w:lang w:val="en-AU"/>
    </w:rPr>
  </w:style>
  <w:style w:type="character" w:styleId="Hyperlink">
    <w:name w:val="Hyperlink"/>
    <w:semiHidden/>
    <w:rsid w:val="00C904BE"/>
    <w:rPr>
      <w:color w:val="008000"/>
      <w:u w:val="single"/>
    </w:rPr>
  </w:style>
  <w:style w:type="character" w:customStyle="1" w:styleId="apple-converted-space">
    <w:name w:val="apple-converted-space"/>
    <w:basedOn w:val="DefaultParagraphFont"/>
    <w:rsid w:val="00E277BE"/>
  </w:style>
  <w:style w:type="paragraph" w:styleId="Header">
    <w:name w:val="header"/>
    <w:basedOn w:val="Normal"/>
    <w:link w:val="HeaderChar"/>
    <w:uiPriority w:val="99"/>
    <w:unhideWhenUsed/>
    <w:rsid w:val="00895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8FA"/>
  </w:style>
  <w:style w:type="paragraph" w:styleId="Footer">
    <w:name w:val="footer"/>
    <w:basedOn w:val="Normal"/>
    <w:link w:val="FooterChar"/>
    <w:uiPriority w:val="99"/>
    <w:unhideWhenUsed/>
    <w:rsid w:val="00895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8FA"/>
  </w:style>
  <w:style w:type="paragraph" w:styleId="Quote">
    <w:name w:val="Quote"/>
    <w:basedOn w:val="Normal"/>
    <w:next w:val="Normal"/>
    <w:link w:val="QuoteChar"/>
    <w:uiPriority w:val="29"/>
    <w:qFormat/>
    <w:rsid w:val="0079459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94594"/>
    <w:rPr>
      <w:i/>
      <w:iCs/>
      <w:color w:val="404040" w:themeColor="text1" w:themeTint="BF"/>
    </w:rPr>
  </w:style>
  <w:style w:type="character" w:styleId="FollowedHyperlink">
    <w:name w:val="FollowedHyperlink"/>
    <w:basedOn w:val="DefaultParagraphFont"/>
    <w:uiPriority w:val="99"/>
    <w:semiHidden/>
    <w:unhideWhenUsed/>
    <w:rsid w:val="00636432"/>
    <w:rPr>
      <w:color w:val="800080" w:themeColor="followedHyperlink"/>
      <w:u w:val="single"/>
    </w:rPr>
  </w:style>
  <w:style w:type="character" w:customStyle="1" w:styleId="Heading3Char">
    <w:name w:val="Heading 3 Char"/>
    <w:basedOn w:val="DefaultParagraphFont"/>
    <w:link w:val="Heading3"/>
    <w:uiPriority w:val="9"/>
    <w:rsid w:val="00A209EC"/>
    <w:rPr>
      <w:rFonts w:asciiTheme="majorHAnsi" w:eastAsiaTheme="majorEastAsia" w:hAnsiTheme="majorHAnsi" w:cstheme="majorBidi"/>
      <w:color w:val="243F60" w:themeColor="accent1" w:themeShade="7F"/>
      <w:sz w:val="24"/>
      <w:szCs w:val="24"/>
    </w:rPr>
  </w:style>
  <w:style w:type="paragraph" w:customStyle="1" w:styleId="StrategicAssessmentText">
    <w:name w:val="Strategic Assessment Text"/>
    <w:basedOn w:val="Normal"/>
    <w:rsid w:val="00A209EC"/>
    <w:pPr>
      <w:spacing w:before="120" w:after="0" w:line="240" w:lineRule="auto"/>
      <w:ind w:left="284"/>
      <w:jc w:val="both"/>
    </w:pPr>
    <w:rPr>
      <w:rFonts w:ascii="Times" w:eastAsia="Times New Roman" w:hAnsi="Times" w:cs="Times New Roman"/>
      <w:sz w:val="24"/>
      <w:szCs w:val="20"/>
      <w:lang w:val="en-AU" w:eastAsia="en-AU"/>
    </w:rPr>
  </w:style>
  <w:style w:type="paragraph" w:styleId="BalloonText">
    <w:name w:val="Balloon Text"/>
    <w:basedOn w:val="Normal"/>
    <w:link w:val="BalloonTextChar"/>
    <w:uiPriority w:val="99"/>
    <w:semiHidden/>
    <w:unhideWhenUsed/>
    <w:rsid w:val="00407F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F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513569">
      <w:bodyDiv w:val="1"/>
      <w:marLeft w:val="0"/>
      <w:marRight w:val="0"/>
      <w:marTop w:val="0"/>
      <w:marBottom w:val="0"/>
      <w:divBdr>
        <w:top w:val="none" w:sz="0" w:space="0" w:color="auto"/>
        <w:left w:val="none" w:sz="0" w:space="0" w:color="auto"/>
        <w:bottom w:val="none" w:sz="0" w:space="0" w:color="auto"/>
        <w:right w:val="none" w:sz="0" w:space="0" w:color="auto"/>
      </w:divBdr>
      <w:divsChild>
        <w:div w:id="559629814">
          <w:marLeft w:val="0"/>
          <w:marRight w:val="0"/>
          <w:marTop w:val="0"/>
          <w:marBottom w:val="0"/>
          <w:divBdr>
            <w:top w:val="none" w:sz="0" w:space="0" w:color="auto"/>
            <w:left w:val="none" w:sz="0" w:space="0" w:color="auto"/>
            <w:bottom w:val="none" w:sz="0" w:space="0" w:color="auto"/>
            <w:right w:val="none" w:sz="0" w:space="0" w:color="auto"/>
          </w:divBdr>
        </w:div>
        <w:div w:id="114641181">
          <w:marLeft w:val="0"/>
          <w:marRight w:val="0"/>
          <w:marTop w:val="0"/>
          <w:marBottom w:val="0"/>
          <w:divBdr>
            <w:top w:val="none" w:sz="0" w:space="0" w:color="auto"/>
            <w:left w:val="none" w:sz="0" w:space="0" w:color="auto"/>
            <w:bottom w:val="none" w:sz="0" w:space="0" w:color="auto"/>
            <w:right w:val="none" w:sz="0" w:space="0" w:color="auto"/>
          </w:divBdr>
        </w:div>
        <w:div w:id="2049529320">
          <w:marLeft w:val="0"/>
          <w:marRight w:val="0"/>
          <w:marTop w:val="0"/>
          <w:marBottom w:val="0"/>
          <w:divBdr>
            <w:top w:val="none" w:sz="0" w:space="0" w:color="auto"/>
            <w:left w:val="none" w:sz="0" w:space="0" w:color="auto"/>
            <w:bottom w:val="none" w:sz="0" w:space="0" w:color="auto"/>
            <w:right w:val="none" w:sz="0" w:space="0" w:color="auto"/>
          </w:divBdr>
        </w:div>
        <w:div w:id="1387605222">
          <w:marLeft w:val="0"/>
          <w:marRight w:val="0"/>
          <w:marTop w:val="0"/>
          <w:marBottom w:val="0"/>
          <w:divBdr>
            <w:top w:val="none" w:sz="0" w:space="0" w:color="auto"/>
            <w:left w:val="none" w:sz="0" w:space="0" w:color="auto"/>
            <w:bottom w:val="none" w:sz="0" w:space="0" w:color="auto"/>
            <w:right w:val="none" w:sz="0" w:space="0" w:color="auto"/>
          </w:divBdr>
        </w:div>
        <w:div w:id="69423445">
          <w:marLeft w:val="0"/>
          <w:marRight w:val="0"/>
          <w:marTop w:val="0"/>
          <w:marBottom w:val="0"/>
          <w:divBdr>
            <w:top w:val="none" w:sz="0" w:space="0" w:color="auto"/>
            <w:left w:val="none" w:sz="0" w:space="0" w:color="auto"/>
            <w:bottom w:val="none" w:sz="0" w:space="0" w:color="auto"/>
            <w:right w:val="none" w:sz="0" w:space="0" w:color="auto"/>
          </w:divBdr>
        </w:div>
        <w:div w:id="1072628677">
          <w:marLeft w:val="0"/>
          <w:marRight w:val="0"/>
          <w:marTop w:val="0"/>
          <w:marBottom w:val="0"/>
          <w:divBdr>
            <w:top w:val="none" w:sz="0" w:space="0" w:color="auto"/>
            <w:left w:val="none" w:sz="0" w:space="0" w:color="auto"/>
            <w:bottom w:val="none" w:sz="0" w:space="0" w:color="auto"/>
            <w:right w:val="none" w:sz="0" w:space="0" w:color="auto"/>
          </w:divBdr>
        </w:div>
      </w:divsChild>
    </w:div>
    <w:div w:id="600840119">
      <w:bodyDiv w:val="1"/>
      <w:marLeft w:val="0"/>
      <w:marRight w:val="0"/>
      <w:marTop w:val="0"/>
      <w:marBottom w:val="0"/>
      <w:divBdr>
        <w:top w:val="none" w:sz="0" w:space="0" w:color="auto"/>
        <w:left w:val="none" w:sz="0" w:space="0" w:color="auto"/>
        <w:bottom w:val="none" w:sz="0" w:space="0" w:color="auto"/>
        <w:right w:val="none" w:sz="0" w:space="0" w:color="auto"/>
      </w:divBdr>
    </w:div>
    <w:div w:id="659581601">
      <w:bodyDiv w:val="1"/>
      <w:marLeft w:val="0"/>
      <w:marRight w:val="0"/>
      <w:marTop w:val="0"/>
      <w:marBottom w:val="0"/>
      <w:divBdr>
        <w:top w:val="none" w:sz="0" w:space="0" w:color="auto"/>
        <w:left w:val="none" w:sz="0" w:space="0" w:color="auto"/>
        <w:bottom w:val="none" w:sz="0" w:space="0" w:color="auto"/>
        <w:right w:val="none" w:sz="0" w:space="0" w:color="auto"/>
      </w:divBdr>
    </w:div>
    <w:div w:id="722870375">
      <w:bodyDiv w:val="1"/>
      <w:marLeft w:val="0"/>
      <w:marRight w:val="0"/>
      <w:marTop w:val="0"/>
      <w:marBottom w:val="0"/>
      <w:divBdr>
        <w:top w:val="none" w:sz="0" w:space="0" w:color="auto"/>
        <w:left w:val="none" w:sz="0" w:space="0" w:color="auto"/>
        <w:bottom w:val="none" w:sz="0" w:space="0" w:color="auto"/>
        <w:right w:val="none" w:sz="0" w:space="0" w:color="auto"/>
      </w:divBdr>
      <w:divsChild>
        <w:div w:id="1272737249">
          <w:marLeft w:val="0"/>
          <w:marRight w:val="0"/>
          <w:marTop w:val="0"/>
          <w:marBottom w:val="0"/>
          <w:divBdr>
            <w:top w:val="none" w:sz="0" w:space="0" w:color="auto"/>
            <w:left w:val="none" w:sz="0" w:space="0" w:color="auto"/>
            <w:bottom w:val="none" w:sz="0" w:space="0" w:color="auto"/>
            <w:right w:val="none" w:sz="0" w:space="0" w:color="auto"/>
          </w:divBdr>
        </w:div>
        <w:div w:id="1297488992">
          <w:marLeft w:val="0"/>
          <w:marRight w:val="0"/>
          <w:marTop w:val="0"/>
          <w:marBottom w:val="0"/>
          <w:divBdr>
            <w:top w:val="none" w:sz="0" w:space="0" w:color="auto"/>
            <w:left w:val="none" w:sz="0" w:space="0" w:color="auto"/>
            <w:bottom w:val="none" w:sz="0" w:space="0" w:color="auto"/>
            <w:right w:val="none" w:sz="0" w:space="0" w:color="auto"/>
          </w:divBdr>
          <w:divsChild>
            <w:div w:id="158930390">
              <w:marLeft w:val="0"/>
              <w:marRight w:val="0"/>
              <w:marTop w:val="0"/>
              <w:marBottom w:val="0"/>
              <w:divBdr>
                <w:top w:val="none" w:sz="0" w:space="0" w:color="auto"/>
                <w:left w:val="none" w:sz="0" w:space="0" w:color="auto"/>
                <w:bottom w:val="none" w:sz="0" w:space="0" w:color="auto"/>
                <w:right w:val="none" w:sz="0" w:space="0" w:color="auto"/>
              </w:divBdr>
            </w:div>
            <w:div w:id="8272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95230">
      <w:bodyDiv w:val="1"/>
      <w:marLeft w:val="0"/>
      <w:marRight w:val="0"/>
      <w:marTop w:val="0"/>
      <w:marBottom w:val="0"/>
      <w:divBdr>
        <w:top w:val="none" w:sz="0" w:space="0" w:color="auto"/>
        <w:left w:val="none" w:sz="0" w:space="0" w:color="auto"/>
        <w:bottom w:val="none" w:sz="0" w:space="0" w:color="auto"/>
        <w:right w:val="none" w:sz="0" w:space="0" w:color="auto"/>
      </w:divBdr>
    </w:div>
    <w:div w:id="1083717664">
      <w:bodyDiv w:val="1"/>
      <w:marLeft w:val="0"/>
      <w:marRight w:val="0"/>
      <w:marTop w:val="0"/>
      <w:marBottom w:val="0"/>
      <w:divBdr>
        <w:top w:val="none" w:sz="0" w:space="0" w:color="auto"/>
        <w:left w:val="none" w:sz="0" w:space="0" w:color="auto"/>
        <w:bottom w:val="none" w:sz="0" w:space="0" w:color="auto"/>
        <w:right w:val="none" w:sz="0" w:space="0" w:color="auto"/>
      </w:divBdr>
      <w:divsChild>
        <w:div w:id="1421097052">
          <w:marLeft w:val="0"/>
          <w:marRight w:val="0"/>
          <w:marTop w:val="0"/>
          <w:marBottom w:val="0"/>
          <w:divBdr>
            <w:top w:val="none" w:sz="0" w:space="0" w:color="auto"/>
            <w:left w:val="none" w:sz="0" w:space="0" w:color="auto"/>
            <w:bottom w:val="single" w:sz="8" w:space="1" w:color="auto"/>
            <w:right w:val="none" w:sz="0" w:space="0" w:color="auto"/>
          </w:divBdr>
        </w:div>
      </w:divsChild>
    </w:div>
    <w:div w:id="1206406891">
      <w:bodyDiv w:val="1"/>
      <w:marLeft w:val="0"/>
      <w:marRight w:val="0"/>
      <w:marTop w:val="0"/>
      <w:marBottom w:val="0"/>
      <w:divBdr>
        <w:top w:val="none" w:sz="0" w:space="0" w:color="auto"/>
        <w:left w:val="none" w:sz="0" w:space="0" w:color="auto"/>
        <w:bottom w:val="none" w:sz="0" w:space="0" w:color="auto"/>
        <w:right w:val="none" w:sz="0" w:space="0" w:color="auto"/>
      </w:divBdr>
      <w:divsChild>
        <w:div w:id="492575466">
          <w:marLeft w:val="0"/>
          <w:marRight w:val="0"/>
          <w:marTop w:val="0"/>
          <w:marBottom w:val="0"/>
          <w:divBdr>
            <w:top w:val="none" w:sz="0" w:space="0" w:color="auto"/>
            <w:left w:val="none" w:sz="0" w:space="0" w:color="auto"/>
            <w:bottom w:val="none" w:sz="0" w:space="0" w:color="auto"/>
            <w:right w:val="none" w:sz="0" w:space="0" w:color="auto"/>
          </w:divBdr>
        </w:div>
        <w:div w:id="13310959">
          <w:marLeft w:val="0"/>
          <w:marRight w:val="0"/>
          <w:marTop w:val="0"/>
          <w:marBottom w:val="0"/>
          <w:divBdr>
            <w:top w:val="none" w:sz="0" w:space="0" w:color="auto"/>
            <w:left w:val="none" w:sz="0" w:space="0" w:color="auto"/>
            <w:bottom w:val="none" w:sz="0" w:space="0" w:color="auto"/>
            <w:right w:val="none" w:sz="0" w:space="0" w:color="auto"/>
          </w:divBdr>
        </w:div>
        <w:div w:id="1031998548">
          <w:marLeft w:val="0"/>
          <w:marRight w:val="0"/>
          <w:marTop w:val="0"/>
          <w:marBottom w:val="0"/>
          <w:divBdr>
            <w:top w:val="none" w:sz="0" w:space="0" w:color="auto"/>
            <w:left w:val="none" w:sz="0" w:space="0" w:color="auto"/>
            <w:bottom w:val="none" w:sz="0" w:space="0" w:color="auto"/>
            <w:right w:val="none" w:sz="0" w:space="0" w:color="auto"/>
          </w:divBdr>
        </w:div>
        <w:div w:id="144203283">
          <w:marLeft w:val="0"/>
          <w:marRight w:val="0"/>
          <w:marTop w:val="0"/>
          <w:marBottom w:val="0"/>
          <w:divBdr>
            <w:top w:val="none" w:sz="0" w:space="0" w:color="auto"/>
            <w:left w:val="none" w:sz="0" w:space="0" w:color="auto"/>
            <w:bottom w:val="none" w:sz="0" w:space="0" w:color="auto"/>
            <w:right w:val="none" w:sz="0" w:space="0" w:color="auto"/>
          </w:divBdr>
        </w:div>
        <w:div w:id="621305431">
          <w:marLeft w:val="0"/>
          <w:marRight w:val="0"/>
          <w:marTop w:val="0"/>
          <w:marBottom w:val="0"/>
          <w:divBdr>
            <w:top w:val="none" w:sz="0" w:space="0" w:color="auto"/>
            <w:left w:val="none" w:sz="0" w:space="0" w:color="auto"/>
            <w:bottom w:val="none" w:sz="0" w:space="0" w:color="auto"/>
            <w:right w:val="none" w:sz="0" w:space="0" w:color="auto"/>
          </w:divBdr>
        </w:div>
        <w:div w:id="1511917130">
          <w:marLeft w:val="0"/>
          <w:marRight w:val="0"/>
          <w:marTop w:val="0"/>
          <w:marBottom w:val="0"/>
          <w:divBdr>
            <w:top w:val="none" w:sz="0" w:space="0" w:color="auto"/>
            <w:left w:val="none" w:sz="0" w:space="0" w:color="auto"/>
            <w:bottom w:val="none" w:sz="0" w:space="0" w:color="auto"/>
            <w:right w:val="none" w:sz="0" w:space="0" w:color="auto"/>
          </w:divBdr>
        </w:div>
      </w:divsChild>
    </w:div>
    <w:div w:id="1310860733">
      <w:bodyDiv w:val="1"/>
      <w:marLeft w:val="0"/>
      <w:marRight w:val="0"/>
      <w:marTop w:val="0"/>
      <w:marBottom w:val="0"/>
      <w:divBdr>
        <w:top w:val="none" w:sz="0" w:space="0" w:color="auto"/>
        <w:left w:val="none" w:sz="0" w:space="0" w:color="auto"/>
        <w:bottom w:val="none" w:sz="0" w:space="0" w:color="auto"/>
        <w:right w:val="none" w:sz="0" w:space="0" w:color="auto"/>
      </w:divBdr>
      <w:divsChild>
        <w:div w:id="2125073417">
          <w:marLeft w:val="0"/>
          <w:marRight w:val="0"/>
          <w:marTop w:val="0"/>
          <w:marBottom w:val="0"/>
          <w:divBdr>
            <w:top w:val="none" w:sz="0" w:space="0" w:color="auto"/>
            <w:left w:val="none" w:sz="0" w:space="0" w:color="auto"/>
            <w:bottom w:val="none" w:sz="0" w:space="0" w:color="auto"/>
            <w:right w:val="none" w:sz="0" w:space="0" w:color="auto"/>
          </w:divBdr>
        </w:div>
        <w:div w:id="1370107715">
          <w:marLeft w:val="0"/>
          <w:marRight w:val="0"/>
          <w:marTop w:val="0"/>
          <w:marBottom w:val="0"/>
          <w:divBdr>
            <w:top w:val="none" w:sz="0" w:space="0" w:color="auto"/>
            <w:left w:val="none" w:sz="0" w:space="0" w:color="auto"/>
            <w:bottom w:val="none" w:sz="0" w:space="0" w:color="auto"/>
            <w:right w:val="none" w:sz="0" w:space="0" w:color="auto"/>
          </w:divBdr>
        </w:div>
        <w:div w:id="1155494758">
          <w:marLeft w:val="0"/>
          <w:marRight w:val="0"/>
          <w:marTop w:val="0"/>
          <w:marBottom w:val="0"/>
          <w:divBdr>
            <w:top w:val="none" w:sz="0" w:space="0" w:color="auto"/>
            <w:left w:val="none" w:sz="0" w:space="0" w:color="auto"/>
            <w:bottom w:val="none" w:sz="0" w:space="0" w:color="auto"/>
            <w:right w:val="none" w:sz="0" w:space="0" w:color="auto"/>
          </w:divBdr>
        </w:div>
        <w:div w:id="1191798897">
          <w:marLeft w:val="0"/>
          <w:marRight w:val="0"/>
          <w:marTop w:val="0"/>
          <w:marBottom w:val="0"/>
          <w:divBdr>
            <w:top w:val="none" w:sz="0" w:space="0" w:color="auto"/>
            <w:left w:val="none" w:sz="0" w:space="0" w:color="auto"/>
            <w:bottom w:val="none" w:sz="0" w:space="0" w:color="auto"/>
            <w:right w:val="none" w:sz="0" w:space="0" w:color="auto"/>
          </w:divBdr>
        </w:div>
      </w:divsChild>
    </w:div>
    <w:div w:id="1494448461">
      <w:bodyDiv w:val="1"/>
      <w:marLeft w:val="0"/>
      <w:marRight w:val="0"/>
      <w:marTop w:val="0"/>
      <w:marBottom w:val="0"/>
      <w:divBdr>
        <w:top w:val="none" w:sz="0" w:space="0" w:color="auto"/>
        <w:left w:val="none" w:sz="0" w:space="0" w:color="auto"/>
        <w:bottom w:val="none" w:sz="0" w:space="0" w:color="auto"/>
        <w:right w:val="none" w:sz="0" w:space="0" w:color="auto"/>
      </w:divBdr>
      <w:divsChild>
        <w:div w:id="1120108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arracity.vic.gov.au/planning--building/Yarra-planning-scheme/Planning-Scheme-Amendments/draft-amendment-c179/"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pcd.vic.gov.au/__data/assets/pdf_file/0005/165929/McGauran-EWS-Appendices-1-and-2.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arracity.vic.gov.au/DownloadDocument.ashx?DocumentID=635"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64B73-6E07-421E-BF37-6378B6EED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18</Pages>
  <Words>3251</Words>
  <Characters>18533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Dad;The 3068 Group</dc:creator>
  <cp:lastModifiedBy>Chris Goodman</cp:lastModifiedBy>
  <cp:revision>12</cp:revision>
  <cp:lastPrinted>2014-09-10T08:37:00Z</cp:lastPrinted>
  <dcterms:created xsi:type="dcterms:W3CDTF">2014-08-22T12:44:00Z</dcterms:created>
  <dcterms:modified xsi:type="dcterms:W3CDTF">2014-09-10T08:48:00Z</dcterms:modified>
</cp:coreProperties>
</file>